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A428A" w:rsidRDefault="00FA428A">
      <w:pPr>
        <w:widowControl w:val="0"/>
        <w:spacing w:line="0" w:lineRule="atLeast"/>
      </w:pPr>
    </w:p>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Default="00FA428A" w:rsidP="00FA428A"/>
    <w:p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9D5595"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8C05F3">
            <w:pPr>
              <w:pStyle w:val="Header"/>
              <w:jc w:val="center"/>
              <w:rPr>
                <w:rFonts w:ascii="Times New Roman" w:hAnsi="Times New Roman"/>
              </w:rPr>
            </w:pPr>
            <w:r>
              <w:rPr>
                <w:rFonts w:ascii="Times New Roman" w:hAnsi="Times New Roman"/>
              </w:rPr>
              <w:t>-</w:t>
            </w:r>
          </w:p>
          <w:p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lastRenderedPageBreak/>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4"/>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bookmarkStart w:id="1" w:name="_GoBack"/>
            <w:bookmarkEnd w:id="1"/>
            <w:r w:rsidR="002E28FF">
              <w:rPr>
                <w:sz w:val="20"/>
                <w:szCs w:val="20"/>
              </w:rPr>
              <w:t xml:space="preserve"> permits counties to establish a license reinstatement program for individuals charged with driving after suspension or driving after revocation.</w:t>
            </w:r>
          </w:p>
          <w:p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088"/>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5"/>
            <w:tcBorders>
              <w:top w:val="single" w:sz="4" w:space="0" w:color="auto"/>
              <w:bottom w:val="single" w:sz="4" w:space="0" w:color="auto"/>
              <w:right w:val="single" w:sz="4" w:space="0" w:color="auto"/>
            </w:tcBorders>
          </w:tcPr>
          <w:p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77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0E1CD7">
              <w:rPr>
                <w:sz w:val="20"/>
                <w:szCs w:val="20"/>
              </w:rPr>
              <w:t>, subd. 9</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82269E">
              <w:rPr>
                <w:sz w:val="20"/>
                <w:szCs w:val="20"/>
              </w:rPr>
              <w:t xml:space="preserve"> or elected officials</w:t>
            </w:r>
            <w:r w:rsidRPr="000E1CD7">
              <w:rPr>
                <w:sz w:val="20"/>
                <w:szCs w:val="20"/>
              </w:rPr>
              <w:t xml:space="preserve">.)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2E0087">
              <w:rPr>
                <w:sz w:val="20"/>
                <w:szCs w:val="20"/>
              </w:rPr>
              <w:t>, subd.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8D5A65">
              <w:rPr>
                <w:sz w:val="20"/>
                <w:szCs w:val="20"/>
              </w:rPr>
              <w:t>$165,333 for 2016</w:t>
            </w:r>
            <w:r w:rsidR="00684C21">
              <w:rPr>
                <w:sz w:val="20"/>
                <w:szCs w:val="20"/>
              </w:rPr>
              <w:t>, $167,978 for 2017</w:t>
            </w:r>
            <w:r w:rsidR="00BA36A4">
              <w:rPr>
                <w:sz w:val="20"/>
                <w:szCs w:val="20"/>
              </w:rPr>
              <w:t>, and $171,338 for 2018</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val="restart"/>
            <w:tcBorders>
              <w:top w:val="single" w:sz="4" w:space="0" w:color="auto"/>
              <w:left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270</w:t>
            </w:r>
            <w:r w:rsidRPr="000E1CD7">
              <w:rPr>
                <w:sz w:val="20"/>
                <w:szCs w:val="20"/>
              </w:rPr>
              <w:noBreakHyphen/>
              <w:t>D,</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A406C9"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rsidR="00A406C9" w:rsidRPr="000E1CD7" w:rsidRDefault="00A406C9" w:rsidP="00EE452E">
            <w:pPr>
              <w:pStyle w:val="Header"/>
              <w:rPr>
                <w:rFonts w:ascii="Times New Roman" w:hAnsi="Times New Roman"/>
              </w:rPr>
            </w:pPr>
            <w:r>
              <w:rPr>
                <w:rFonts w:ascii="Times New Roman" w:hAnsi="Times New Roman"/>
              </w:rPr>
              <w:t>J.</w:t>
            </w:r>
          </w:p>
        </w:tc>
        <w:tc>
          <w:tcPr>
            <w:tcW w:w="6889" w:type="dxa"/>
            <w:gridSpan w:val="4"/>
            <w:tcBorders>
              <w:top w:val="single" w:sz="4" w:space="0" w:color="auto"/>
              <w:bottom w:val="single" w:sz="4" w:space="0" w:color="auto"/>
              <w:right w:val="single" w:sz="4" w:space="0" w:color="auto"/>
            </w:tcBorders>
          </w:tcPr>
          <w:p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 xml:space="preserve">th, to the State Auditor’s Office the investment return information required by Minn. Stat. </w:t>
            </w:r>
            <w:r w:rsidR="00BA36A4">
              <w:rPr>
                <w:rFonts w:eastAsiaTheme="minorHAnsi"/>
                <w:sz w:val="20"/>
                <w:szCs w:val="20"/>
              </w:rPr>
              <w:t>Section</w:t>
            </w:r>
            <w:r w:rsidRPr="00A406C9">
              <w:rPr>
                <w:rFonts w:eastAsiaTheme="minorHAnsi"/>
                <w:sz w:val="20"/>
                <w:szCs w:val="20"/>
              </w:rPr>
              <w:t xml:space="preserve"> 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r>
    </w:tbl>
    <w:p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DF5958" w:rsidP="008D5A65">
    <w:pPr>
      <w:pStyle w:val="Footer"/>
      <w:tabs>
        <w:tab w:val="clear" w:pos="4320"/>
        <w:tab w:val="center" w:pos="5220"/>
      </w:tabs>
      <w:rPr>
        <w:rFonts w:ascii="Times New Roman" w:hAnsi="Times New Roman"/>
      </w:rPr>
    </w:pPr>
    <w:r>
      <w:rPr>
        <w:rFonts w:ascii="Times New Roman" w:hAnsi="Times New Roman"/>
      </w:rPr>
      <w:t>1</w:t>
    </w:r>
    <w:r w:rsidR="0082269E">
      <w:rPr>
        <w:rFonts w:ascii="Times New Roman" w:hAnsi="Times New Roman"/>
      </w:rPr>
      <w:t>2</w:t>
    </w:r>
    <w:r w:rsidR="00073A44">
      <w:rPr>
        <w:rFonts w:ascii="Times New Roman" w:hAnsi="Times New Roman"/>
      </w:rPr>
      <w:t>/201</w:t>
    </w:r>
    <w:r w:rsidR="0082269E">
      <w:rPr>
        <w:rFonts w:ascii="Times New Roman" w:hAnsi="Times New Roman"/>
      </w:rPr>
      <w:t>9</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A35D9F">
      <w:rPr>
        <w:rStyle w:val="PageNumber"/>
        <w:rFonts w:ascii="Times New Roman" w:hAnsi="Times New Roman"/>
        <w:noProof/>
      </w:rPr>
      <w:t>10</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1F4801"/>
    <w:rsid w:val="00207DEB"/>
    <w:rsid w:val="00264E04"/>
    <w:rsid w:val="00281487"/>
    <w:rsid w:val="002E0087"/>
    <w:rsid w:val="002E030B"/>
    <w:rsid w:val="002E28FF"/>
    <w:rsid w:val="002F6263"/>
    <w:rsid w:val="003048B9"/>
    <w:rsid w:val="00307E95"/>
    <w:rsid w:val="003515B1"/>
    <w:rsid w:val="00361220"/>
    <w:rsid w:val="00396677"/>
    <w:rsid w:val="003A0E13"/>
    <w:rsid w:val="003D09E7"/>
    <w:rsid w:val="004007E6"/>
    <w:rsid w:val="00414712"/>
    <w:rsid w:val="004A3903"/>
    <w:rsid w:val="004C5418"/>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2269E"/>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35D9F"/>
    <w:rsid w:val="00A406C9"/>
    <w:rsid w:val="00A5240D"/>
    <w:rsid w:val="00A7230F"/>
    <w:rsid w:val="00AB568A"/>
    <w:rsid w:val="00AE1ADA"/>
    <w:rsid w:val="00B27531"/>
    <w:rsid w:val="00B45B2B"/>
    <w:rsid w:val="00B46098"/>
    <w:rsid w:val="00B82FF6"/>
    <w:rsid w:val="00BA0472"/>
    <w:rsid w:val="00BA36A4"/>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55197DDB"/>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8F4-825F-4E1C-A4B1-020CF375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2461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6</cp:revision>
  <cp:lastPrinted>2019-12-12T23:27:00Z</cp:lastPrinted>
  <dcterms:created xsi:type="dcterms:W3CDTF">2018-08-02T16:32:00Z</dcterms:created>
  <dcterms:modified xsi:type="dcterms:W3CDTF">2020-01-30T17:54:00Z</dcterms:modified>
</cp:coreProperties>
</file>