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9C6" w:rsidRDefault="008769C6" w:rsidP="008769C6">
      <w:pPr>
        <w:pStyle w:val="Header"/>
        <w:rPr>
          <w:rFonts w:ascii="Times New Roman" w:hAnsi="Times New Roman"/>
        </w:rPr>
      </w:pPr>
      <w:bookmarkStart w:id="0" w:name="QuickMark_1"/>
      <w:bookmarkEnd w:id="0"/>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Pr="0084131B" w:rsidRDefault="008769C6" w:rsidP="008769C6">
      <w:pPr>
        <w:pStyle w:val="Header"/>
        <w:rPr>
          <w:rFonts w:ascii="Times New Roman" w:hAnsi="Times New Roman"/>
          <w:sz w:val="8"/>
          <w:szCs w:val="8"/>
        </w:rPr>
      </w:pPr>
      <w:r>
        <w:rPr>
          <w:rFonts w:ascii="Times New Roman" w:hAnsi="Times New Roman"/>
        </w:rPr>
        <w:br w:type="page"/>
      </w:r>
    </w:p>
    <w:p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rsidR="008769C6" w:rsidRDefault="008769C6" w:rsidP="008769C6">
      <w:pPr>
        <w:pStyle w:val="Header"/>
        <w:jc w:val="center"/>
        <w:rPr>
          <w:rFonts w:ascii="Times New Roman" w:hAnsi="Times New Roman"/>
          <w:sz w:val="24"/>
        </w:rPr>
      </w:pPr>
      <w:r>
        <w:rPr>
          <w:rFonts w:ascii="Times New Roman" w:hAnsi="Times New Roman"/>
          <w:b/>
          <w:sz w:val="24"/>
        </w:rPr>
        <w:t>CHARTER SCHOOLS</w:t>
      </w: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r>
        <w:rPr>
          <w:rFonts w:ascii="Times New Roman" w:hAnsi="Times New Roman"/>
          <w:sz w:val="24"/>
          <w:u w:val="single"/>
        </w:rPr>
        <w:t>Introduction</w:t>
      </w:r>
    </w:p>
    <w:p w:rsidR="008769C6" w:rsidRDefault="008769C6" w:rsidP="008769C6">
      <w:pPr>
        <w:pStyle w:val="Header"/>
        <w:rPr>
          <w:rFonts w:ascii="Times New Roman" w:hAnsi="Times New Roman"/>
          <w:sz w:val="24"/>
        </w:rPr>
      </w:pPr>
    </w:p>
    <w:p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 including Minn. Stat. § 12</w:t>
      </w:r>
      <w:r w:rsidR="00826060" w:rsidRPr="00CC07AF">
        <w:rPr>
          <w:rFonts w:ascii="Times New Roman" w:hAnsi="Times New Roman"/>
          <w:sz w:val="24"/>
        </w:rPr>
        <w:t>4E.16.</w:t>
      </w:r>
      <w:r w:rsidR="00083A98" w:rsidRPr="00CC07AF">
        <w:rPr>
          <w:rFonts w:ascii="Times New Roman" w:hAnsi="Times New Roman"/>
          <w:sz w:val="24"/>
        </w:rPr>
        <w:t xml:space="preserve">  </w:t>
      </w:r>
      <w:r w:rsidR="00CC07AF">
        <w:rPr>
          <w:rFonts w:ascii="Times New Roman" w:hAnsi="Times New Roman"/>
          <w:sz w:val="24"/>
        </w:rPr>
        <w:t xml:space="preserve">Pursuant to Minn. Stat. § 124E.16, </w:t>
      </w:r>
      <w:proofErr w:type="spellStart"/>
      <w:r w:rsidR="00CC07AF">
        <w:rPr>
          <w:rFonts w:ascii="Times New Roman" w:hAnsi="Times New Roman"/>
          <w:sz w:val="24"/>
        </w:rPr>
        <w:t>subd</w:t>
      </w:r>
      <w:proofErr w:type="spellEnd"/>
      <w:r w:rsidR="00CC07AF">
        <w:rPr>
          <w:rFonts w:ascii="Times New Roman" w:hAnsi="Times New Roman"/>
          <w:sz w:val="24"/>
        </w:rPr>
        <w:t xml:space="preserve">.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r w:rsidRPr="00CC07AF">
        <w:rPr>
          <w:rFonts w:ascii="Times New Roman" w:hAnsi="Times New Roman"/>
          <w:i/>
          <w:sz w:val="24"/>
        </w:rPr>
        <w:t>Id</w:t>
      </w:r>
      <w:r w:rsidRPr="00CC07AF">
        <w:rPr>
          <w:rFonts w:ascii="Times New Roman" w:hAnsi="Times New Roman"/>
          <w:sz w:val="24"/>
        </w:rPr>
        <w:t>.</w:t>
      </w:r>
      <w:r w:rsidR="008769C6">
        <w:rPr>
          <w:rFonts w:ascii="Times New Roman" w:hAnsi="Times New Roman"/>
          <w:sz w:val="24"/>
        </w:rPr>
        <w:t xml:space="preserve">  </w:t>
      </w:r>
    </w:p>
    <w:p w:rsidR="008769C6" w:rsidRDefault="008769C6" w:rsidP="008769C6">
      <w:pPr>
        <w:pStyle w:val="Header"/>
        <w:jc w:val="both"/>
        <w:rPr>
          <w:rFonts w:ascii="Times New Roman" w:hAnsi="Times New Roman"/>
          <w:sz w:val="24"/>
        </w:rPr>
      </w:pPr>
    </w:p>
    <w:p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 except to the extent deviations are necessary because of the program at the school. Deviations must be approved by the commissioner and authorizer.</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Minn. Stat. § 124</w:t>
      </w:r>
      <w:r w:rsidR="00826060">
        <w:rPr>
          <w:rFonts w:ascii="Times New Roman" w:hAnsi="Times New Roman"/>
          <w:sz w:val="24"/>
        </w:rPr>
        <w:t xml:space="preserve">E.16, </w:t>
      </w:r>
      <w:proofErr w:type="spellStart"/>
      <w:r w:rsidR="00826060">
        <w:rPr>
          <w:rFonts w:ascii="Times New Roman" w:hAnsi="Times New Roman"/>
          <w:sz w:val="24"/>
        </w:rPr>
        <w:t>subd</w:t>
      </w:r>
      <w:proofErr w:type="spellEnd"/>
      <w:r w:rsidR="00826060">
        <w:rPr>
          <w:rFonts w:ascii="Times New Roman" w:hAnsi="Times New Roman"/>
          <w:sz w:val="24"/>
        </w:rPr>
        <w:t>. 1.</w:t>
      </w:r>
    </w:p>
    <w:p w:rsidR="00A63A4C" w:rsidRDefault="00A63A4C" w:rsidP="008769C6">
      <w:pPr>
        <w:pStyle w:val="Header"/>
        <w:jc w:val="both"/>
        <w:rPr>
          <w:rFonts w:ascii="Times New Roman" w:hAnsi="Times New Roman"/>
          <w:sz w:val="24"/>
        </w:rPr>
      </w:pPr>
    </w:p>
    <w:p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section 2</w:t>
      </w:r>
      <w:r w:rsidR="008769C6">
        <w:rPr>
          <w:rFonts w:ascii="Times New Roman" w:hAnsi="Times New Roman"/>
          <w:sz w:val="24"/>
        </w:rPr>
        <w:t>.</w:t>
      </w:r>
      <w:r w:rsidR="005A2455">
        <w:rPr>
          <w:rFonts w:ascii="Times New Roman" w:hAnsi="Times New Roman"/>
          <w:sz w:val="24"/>
        </w:rPr>
        <w:t xml:space="preserve">  </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 and auditors should review this statute.  Specific requirements include the following:</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supplemental information, a copy of management agreements with a charter management organization or an educational management organization and service agreements or contracts over the lesser of $100,000 or ten percent of the school's most recent annual audited expenditures. The agreements must detail the t</w:t>
      </w:r>
      <w:bookmarkStart w:id="1" w:name="_GoBack"/>
      <w:bookmarkEnd w:id="1"/>
      <w:r w:rsidRPr="00AB54F7">
        <w:rPr>
          <w:rFonts w:ascii="Times New Roman" w:hAnsi="Times New Roman"/>
          <w:sz w:val="24"/>
        </w:rPr>
        <w:t>erms of the agreement, including the services provided and the annual costs for those services.</w:t>
      </w:r>
      <w:r>
        <w:rPr>
          <w:rFonts w:ascii="Times New Roman" w:hAnsi="Times New Roman"/>
          <w:sz w:val="24"/>
        </w:rPr>
        <w:t xml:space="preserve"> … ” Minn. Stat. § 124E.16, </w:t>
      </w:r>
      <w:proofErr w:type="spellStart"/>
      <w:r>
        <w:rPr>
          <w:rFonts w:ascii="Times New Roman" w:hAnsi="Times New Roman"/>
          <w:sz w:val="24"/>
        </w:rPr>
        <w:t>subd</w:t>
      </w:r>
      <w:proofErr w:type="spellEnd"/>
      <w:r>
        <w:rPr>
          <w:rFonts w:ascii="Times New Roman" w:hAnsi="Times New Roman"/>
          <w:sz w:val="24"/>
        </w:rPr>
        <w:t>. 1 (c).</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A charter school independent audit report shall include audited financial data of an affiliated building corporation or other component unit.</w:t>
      </w:r>
      <w:r>
        <w:rPr>
          <w:rFonts w:ascii="Times New Roman" w:hAnsi="Times New Roman"/>
          <w:sz w:val="24"/>
        </w:rPr>
        <w:t xml:space="preserve">” Minn. Stat. § 124E.16, </w:t>
      </w:r>
      <w:proofErr w:type="spellStart"/>
      <w:r>
        <w:rPr>
          <w:rFonts w:ascii="Times New Roman" w:hAnsi="Times New Roman"/>
          <w:sz w:val="24"/>
        </w:rPr>
        <w:t>subd</w:t>
      </w:r>
      <w:proofErr w:type="spellEnd"/>
      <w:r>
        <w:rPr>
          <w:rFonts w:ascii="Times New Roman" w:hAnsi="Times New Roman"/>
          <w:sz w:val="24"/>
        </w:rPr>
        <w:t>. 1 (d).</w:t>
      </w:r>
    </w:p>
    <w:p w:rsidR="00AB54F7" w:rsidRDefault="00AB54F7" w:rsidP="008769C6">
      <w:pPr>
        <w:pStyle w:val="Header"/>
        <w:jc w:val="both"/>
        <w:rPr>
          <w:rFonts w:ascii="Times New Roman" w:hAnsi="Times New Roman"/>
          <w:sz w:val="24"/>
        </w:rPr>
      </w:pPr>
    </w:p>
    <w:p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If the audit report finds that a material weakness exists in the financial reporting systems of a charter school, the charter school must submit a written report to the commissioner explaining how the material weakness will be resolved. 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xml:space="preserve">” Minn. Stat. § 124E.16, </w:t>
      </w:r>
      <w:proofErr w:type="spellStart"/>
      <w:r>
        <w:rPr>
          <w:rFonts w:ascii="Times New Roman" w:hAnsi="Times New Roman"/>
          <w:sz w:val="24"/>
        </w:rPr>
        <w:t>subd</w:t>
      </w:r>
      <w:proofErr w:type="spellEnd"/>
      <w:r>
        <w:rPr>
          <w:rFonts w:ascii="Times New Roman" w:hAnsi="Times New Roman"/>
          <w:sz w:val="24"/>
        </w:rPr>
        <w:t>. 1 (e).</w:t>
      </w: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3C7770" w:rsidRDefault="003C7770" w:rsidP="008769C6">
      <w:pPr>
        <w:pStyle w:val="Header"/>
        <w:tabs>
          <w:tab w:val="clear" w:pos="4320"/>
          <w:tab w:val="center" w:pos="5040"/>
        </w:tabs>
        <w:jc w:val="both"/>
        <w:rPr>
          <w:rFonts w:ascii="Times New Roman" w:hAnsi="Times New Roman"/>
        </w:rPr>
        <w:sectPr w:rsidR="003C7770" w:rsidSect="00A00020">
          <w:footerReference w:type="default" r:id="rId6"/>
          <w:pgSz w:w="12240" w:h="15840" w:code="1"/>
          <w:pgMar w:top="1440" w:right="1440" w:bottom="1440" w:left="1440" w:header="720" w:footer="720" w:gutter="0"/>
          <w:cols w:space="720"/>
          <w:titlePg/>
          <w:docGrid w:linePitch="360"/>
        </w:sectPr>
      </w:pPr>
    </w:p>
    <w:p w:rsidR="003C7770" w:rsidRDefault="003C7770" w:rsidP="003C7770">
      <w:pPr>
        <w:pStyle w:val="Header"/>
        <w:ind w:firstLine="720"/>
        <w:rPr>
          <w:sz w:val="1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Pr>
                <w:rFonts w:ascii="Times New Roman" w:hAnsi="Times New Roman"/>
              </w:rPr>
              <w:t>,</w:t>
            </w:r>
          </w:p>
          <w:p w:rsidR="003C7770" w:rsidRDefault="004B2BE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(b</w:t>
            </w:r>
            <w:r w:rsidR="003C777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Pr>
                <w:rFonts w:ascii="Times New Roman" w:hAnsi="Times New Roman"/>
              </w:rPr>
              <w:t>”</w:t>
            </w:r>
            <w:r w:rsidRPr="002E26F2">
              <w:rPr>
                <w:rFonts w:ascii="Times New Roman" w:hAnsi="Times New Roman"/>
              </w:rPr>
              <w:t xml:space="preserve"> </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43477B"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124E.07,</w:t>
            </w:r>
          </w:p>
          <w:p w:rsidR="0043477B" w:rsidRDefault="0043477B" w:rsidP="0043477B">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(b)</w:t>
            </w:r>
          </w:p>
        </w:tc>
        <w:tc>
          <w:tcPr>
            <w:tcW w:w="466" w:type="dxa"/>
            <w:tcBorders>
              <w:right w:val="nil"/>
            </w:tcBorders>
          </w:tcPr>
          <w:p w:rsidR="0043477B" w:rsidRDefault="0043477B" w:rsidP="00F95EE1">
            <w:pPr>
              <w:pStyle w:val="Header"/>
              <w:rPr>
                <w:rFonts w:ascii="Times New Roman" w:hAnsi="Times New Roman"/>
              </w:rPr>
            </w:pPr>
            <w:r>
              <w:rPr>
                <w:rFonts w:ascii="Times New Roman" w:hAnsi="Times New Roman"/>
              </w:rPr>
              <w:t>-</w:t>
            </w:r>
          </w:p>
        </w:tc>
        <w:tc>
          <w:tcPr>
            <w:tcW w:w="6194" w:type="dxa"/>
            <w:tcBorders>
              <w:left w:val="nil"/>
            </w:tcBorders>
          </w:tcPr>
          <w:p w:rsidR="0043477B" w:rsidRDefault="0043477B" w:rsidP="0049370F">
            <w:pPr>
              <w:pStyle w:val="Header"/>
              <w:rPr>
                <w:rFonts w:ascii="Times New Roman" w:hAnsi="Times New Roman"/>
              </w:rPr>
            </w:pPr>
            <w:r>
              <w:rPr>
                <w:rFonts w:ascii="Times New Roman" w:hAnsi="Times New Roman"/>
              </w:rPr>
              <w:t>“An individual is prohibited f</w:t>
            </w:r>
            <w:r w:rsidR="002E1665">
              <w:rPr>
                <w:rFonts w:ascii="Times New Roman" w:hAnsi="Times New Roman"/>
              </w:rPr>
              <w:t>rom serving as a board member if</w:t>
            </w:r>
            <w:r>
              <w:rPr>
                <w:rFonts w:ascii="Times New Roman" w:hAnsi="Times New Roman"/>
              </w:rPr>
              <w:t xml:space="preserve"> an immediate family member is an employee of the school.”</w:t>
            </w:r>
          </w:p>
        </w:tc>
        <w:tc>
          <w:tcPr>
            <w:tcW w:w="715" w:type="dxa"/>
          </w:tcPr>
          <w:p w:rsidR="0043477B" w:rsidRDefault="0043477B" w:rsidP="00F95EE1">
            <w:pPr>
              <w:pStyle w:val="Header"/>
              <w:rPr>
                <w:rFonts w:ascii="Times New Roman" w:hAnsi="Times New Roman"/>
              </w:rPr>
            </w:pPr>
          </w:p>
        </w:tc>
        <w:tc>
          <w:tcPr>
            <w:tcW w:w="498" w:type="dxa"/>
          </w:tcPr>
          <w:p w:rsidR="0043477B" w:rsidRDefault="0043477B" w:rsidP="00F95EE1">
            <w:pPr>
              <w:pStyle w:val="Header"/>
              <w:rPr>
                <w:rFonts w:ascii="Times New Roman" w:hAnsi="Times New Roman"/>
              </w:rPr>
            </w:pPr>
          </w:p>
        </w:tc>
        <w:tc>
          <w:tcPr>
            <w:tcW w:w="1250" w:type="dxa"/>
          </w:tcPr>
          <w:p w:rsidR="0043477B" w:rsidRDefault="0043477B" w:rsidP="00F95EE1">
            <w:pPr>
              <w:pStyle w:val="Header"/>
              <w:rPr>
                <w:rFonts w:ascii="Times New Roman" w:hAnsi="Times New Roman"/>
              </w:rPr>
            </w:pPr>
          </w:p>
        </w:tc>
      </w:tr>
      <w:tr w:rsidR="00B63401" w:rsidTr="00F95EE1">
        <w:trPr>
          <w:cantSplit/>
        </w:trPr>
        <w:tc>
          <w:tcPr>
            <w:tcW w:w="1620" w:type="dxa"/>
          </w:tcPr>
          <w:p w:rsidR="00B63401" w:rsidRDefault="00B63401" w:rsidP="00B63401">
            <w:pPr>
              <w:pStyle w:val="Header"/>
              <w:jc w:val="center"/>
              <w:rPr>
                <w:rFonts w:ascii="Times New Roman" w:hAnsi="Times New Roman"/>
              </w:rPr>
            </w:pPr>
            <w:r>
              <w:rPr>
                <w:rFonts w:ascii="Times New Roman" w:hAnsi="Times New Roman"/>
              </w:rPr>
              <w:t>§ 124E.07,</w:t>
            </w:r>
          </w:p>
          <w:p w:rsidR="00B63401" w:rsidRDefault="00B63401" w:rsidP="00B6340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49370F">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the initial review, approval, ongoing oversight, evaluation, or the charter renewal or nonrenewal process or decision is ineligible to serve on the board of directors of a school chartered by that authorizer.</w:t>
            </w:r>
            <w:r>
              <w:rPr>
                <w:rFonts w:ascii="Times New Roman" w:hAnsi="Times New Roman"/>
              </w:rPr>
              <w:t>”</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124E.14</w:t>
            </w:r>
            <w:r w:rsidR="004B2BE0">
              <w:rPr>
                <w:rFonts w:ascii="Times New Roman" w:hAnsi="Times New Roman"/>
              </w:rPr>
              <w:t>,</w:t>
            </w:r>
          </w:p>
          <w:p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(2) the immediate family of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rsidR="0049370F" w:rsidRPr="0049370F" w:rsidRDefault="0049370F" w:rsidP="0049370F">
            <w:pPr>
              <w:pStyle w:val="Header"/>
              <w:rPr>
                <w:rFonts w:ascii="Times New Roman" w:hAnsi="Times New Roman"/>
              </w:rPr>
            </w:pPr>
            <w:r w:rsidRPr="0049370F">
              <w:rPr>
                <w:rFonts w:ascii="Times New Roman" w:hAnsi="Times New Roman"/>
              </w:rPr>
              <w:t>(4) an organization that employs, or is about to employ any individual in clauses (1) to (3),</w:t>
            </w:r>
          </w:p>
          <w:p w:rsidR="003C7770" w:rsidRDefault="0049370F" w:rsidP="0049370F">
            <w:pPr>
              <w:pStyle w:val="Header"/>
              <w:rPr>
                <w:rFonts w:ascii="Times New Roman" w:hAnsi="Times New Roman"/>
              </w:rPr>
            </w:pPr>
            <w:proofErr w:type="gramStart"/>
            <w:r w:rsidRPr="0049370F">
              <w:rPr>
                <w:rFonts w:ascii="Times New Roman" w:hAnsi="Times New Roman"/>
              </w:rPr>
              <w:t>has</w:t>
            </w:r>
            <w:proofErr w:type="gramEnd"/>
            <w:r w:rsidRPr="0049370F">
              <w:rPr>
                <w:rFonts w:ascii="Times New Roman" w:hAnsi="Times New Roman"/>
              </w:rPr>
              <w:t xml:space="preserve"> a financial or other interest in the entity with which the charter school is contracting. A violation of this prohib</w:t>
            </w:r>
            <w:r w:rsidR="0043477B">
              <w:rPr>
                <w:rFonts w:ascii="Times New Roman" w:hAnsi="Times New Roman"/>
              </w:rPr>
              <w:t>ition renders the contract void</w:t>
            </w:r>
            <w:r w:rsidR="003C7770" w:rsidRPr="00E5717A">
              <w:rPr>
                <w:rFonts w:ascii="Times New Roman" w:hAnsi="Times New Roman"/>
              </w:rPr>
              <w:t>.</w:t>
            </w:r>
            <w:r w:rsidR="003C7770">
              <w:rPr>
                <w:rFonts w:ascii="Times New Roman" w:hAnsi="Times New Roman"/>
              </w:rPr>
              <w:t>”</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 (b)</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under Minn. Stat.,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F95EE1">
            <w:pPr>
              <w:pStyle w:val="Header"/>
              <w:jc w:val="center"/>
              <w:rPr>
                <w:rFonts w:ascii="Times New Roman" w:hAnsi="Times New Roman"/>
              </w:rPr>
            </w:pPr>
            <w:r>
              <w:rPr>
                <w:rFonts w:ascii="Times New Roman" w:hAnsi="Times New Roman"/>
              </w:rPr>
              <w:t>§ 124E.14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B63401">
            <w:pPr>
              <w:pStyle w:val="Header"/>
              <w:rPr>
                <w:rFonts w:ascii="Times New Roman" w:hAnsi="Times New Roman"/>
              </w:rPr>
            </w:pPr>
            <w:r>
              <w:rPr>
                <w:rFonts w:ascii="Times New Roman" w:hAnsi="Times New Roman"/>
              </w:rPr>
              <w:t xml:space="preserve">Has the charter school complied with the Minn. Stat. § </w:t>
            </w:r>
            <w:r w:rsidR="00B63401">
              <w:rPr>
                <w:rFonts w:ascii="Times New Roman" w:hAnsi="Times New Roman"/>
              </w:rPr>
              <w:t>124E.07 and 124E.14</w:t>
            </w:r>
            <w:r>
              <w:rPr>
                <w:rFonts w:ascii="Times New Roman" w:hAnsi="Times New Roman"/>
              </w:rPr>
              <w:t xml:space="preserve"> conflict of interest prohibitions quoted above?</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pPr>
        <w:pStyle w:val="Header"/>
      </w:pPr>
    </w:p>
    <w:p w:rsidR="003C7770" w:rsidRDefault="003C7770" w:rsidP="003C7770">
      <w:pPr>
        <w:rPr>
          <w:sz w:val="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 xml:space="preserve">E.16, </w:t>
            </w:r>
            <w:proofErr w:type="spellStart"/>
            <w:r w:rsidR="00846588">
              <w:rPr>
                <w:rFonts w:ascii="Times New Roman" w:hAnsi="Times New Roman"/>
              </w:rPr>
              <w:t>subd</w:t>
            </w:r>
            <w:proofErr w:type="spellEnd"/>
            <w:r w:rsidR="00846588">
              <w:rPr>
                <w:rFonts w:ascii="Times New Roman" w:hAnsi="Times New Roman"/>
              </w:rPr>
              <w:t>. 1</w:t>
            </w:r>
            <w:r w:rsidR="00AD5F6C">
              <w:rPr>
                <w:rFonts w:ascii="Times New Roman" w:hAnsi="Times New Roman"/>
              </w:rPr>
              <w:t>, and</w:t>
            </w:r>
            <w:r>
              <w:rPr>
                <w:rFonts w:ascii="Times New Roman" w:hAnsi="Times New Roman"/>
              </w:rPr>
              <w:t xml:space="preserve"> 15.054</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For all purchases: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 xml:space="preserve">E.16, </w:t>
            </w:r>
            <w:proofErr w:type="spellStart"/>
            <w:r w:rsidR="00826060">
              <w:rPr>
                <w:rFonts w:ascii="Times New Roman" w:hAnsi="Times New Roman"/>
              </w:rPr>
              <w:t>subd</w:t>
            </w:r>
            <w:proofErr w:type="spellEnd"/>
            <w:r w:rsidR="00826060">
              <w:rPr>
                <w:rFonts w:ascii="Times New Roman" w:hAnsi="Times New Roman"/>
              </w:rPr>
              <w:t>. 1</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 xml:space="preserve">E.16, </w:t>
            </w:r>
            <w:proofErr w:type="spellStart"/>
            <w:r w:rsidR="00826060">
              <w:rPr>
                <w:rFonts w:ascii="Times New Roman" w:hAnsi="Times New Roman"/>
              </w:rPr>
              <w:t>subd</w:t>
            </w:r>
            <w:proofErr w:type="spellEnd"/>
            <w:r w:rsidR="00826060">
              <w:rPr>
                <w:rFonts w:ascii="Times New Roman" w:hAnsi="Times New Roman"/>
              </w:rPr>
              <w:t xml:space="preserve">. 1, </w:t>
            </w:r>
            <w:r>
              <w:rPr>
                <w:rFonts w:ascii="Times New Roman" w:hAnsi="Times New Roman"/>
              </w:rPr>
              <w:t>charter schools are subject to and must comply with §§ 118A.01, 118A.02, 118A.03, 118A.04, 118A.05, and 118A.06.</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“Public funds” for the purpose of this section means all general, special, permanent, trust, or other funds, regardless of source or purpose, held or administered by a charter school, unless otherwise restricted.  Minn. Stat. § 118A.01, </w:t>
            </w: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118A.02,</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In the case of a charter school:</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Is each depository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savings association;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commercial bank;</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trust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 credit union;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w:t>
            </w:r>
            <w:proofErr w:type="gramEnd"/>
            <w:r>
              <w:rPr>
                <w:rFonts w:ascii="Times New Roman" w:hAnsi="Times New Roman"/>
              </w:rPr>
              <w:t xml:space="preserve"> industrial loan and thrift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1 &amp;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Review the general principles of FDIC coverage in section 1 and complete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 xml:space="preserve">ing the spreadsheet on page </w:t>
            </w:r>
            <w:r w:rsidR="003D7BF2">
              <w:rPr>
                <w:rFonts w:ascii="Times New Roman" w:hAnsi="Times New Roman"/>
              </w:rPr>
              <w:t>9-13</w:t>
            </w:r>
            <w:r w:rsidRPr="0010463C">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br w:type="page"/>
            </w:r>
            <w:r>
              <w:rPr>
                <w:rFonts w:ascii="Times New Roman" w:hAnsi="Times New Roman"/>
                <w:b/>
                <w:bCs/>
              </w:rPr>
              <w:t>Part V.  The Bond and Collateral</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U.S. government treasury bills, notes, or bonds;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f.</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g.</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time</w:t>
            </w:r>
            <w:proofErr w:type="gramEnd"/>
            <w:r>
              <w:rPr>
                <w:rFonts w:ascii="Times New Roman" w:hAnsi="Times New Roman"/>
              </w:rPr>
              <w:t xml:space="preserve"> deposits insured by a federal agency?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in a restricted account at the Federal Reserve Bank;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an account at a trust department of a commercial bank or other financial institution not owned or controlled by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Collateral pledged must equal at least ten percent more than the uninsured and </w:t>
            </w:r>
            <w:proofErr w:type="spellStart"/>
            <w:r>
              <w:rPr>
                <w:rFonts w:ascii="Times New Roman" w:hAnsi="Times New Roman"/>
              </w:rPr>
              <w:t>unbonded</w:t>
            </w:r>
            <w:proofErr w:type="spellEnd"/>
            <w:r>
              <w:rPr>
                <w:rFonts w:ascii="Times New Roman" w:hAnsi="Times New Roman"/>
              </w:rPr>
              <w:t xml:space="preserve"> amount on deposit.  The depository may, at its discretion, furnish both a bond and collateral aggregating the required amount.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[12 U.S.C.</w:t>
            </w:r>
          </w:p>
          <w:p w:rsidR="003C7770" w:rsidRDefault="003C7770" w:rsidP="00F95EE1">
            <w:pPr>
              <w:pStyle w:val="Header"/>
              <w:jc w:val="center"/>
              <w:rPr>
                <w:rFonts w:ascii="Times New Roman" w:hAnsi="Times New Roman"/>
              </w:rPr>
            </w:pPr>
            <w:r>
              <w:rPr>
                <w:rFonts w:ascii="Times New Roman" w:hAnsi="Times New Roman"/>
              </w:rPr>
              <w:t>§ 1823(e)]</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assignment an official record of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450"/>
        <w:gridCol w:w="90"/>
        <w:gridCol w:w="4680"/>
        <w:gridCol w:w="715"/>
        <w:gridCol w:w="498"/>
        <w:gridCol w:w="1250"/>
      </w:tblGrid>
      <w:tr w:rsidR="003C7770" w:rsidTr="004B5791">
        <w:trPr>
          <w:cantSplit/>
        </w:trPr>
        <w:tc>
          <w:tcPr>
            <w:tcW w:w="10743" w:type="dxa"/>
            <w:gridSpan w:val="11"/>
          </w:tcPr>
          <w:p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6"/>
            <w:tcBorders>
              <w:left w:val="nil"/>
            </w:tcBorders>
          </w:tcPr>
          <w:p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securities broker-dealer licensed pursuant to chapter 80A, or an affiliate of it, regulated by the Securities and Exchange Commission and maintaining a combined capital and surplus of $40,000,000 or more, exclusive of subordinated debt?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118A.06</w:t>
            </w: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6"/>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Are all investments held in safekeeping?  If so:</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030D4F" w:rsidTr="004B5791">
        <w:trPr>
          <w:cantSplit/>
        </w:trPr>
        <w:tc>
          <w:tcPr>
            <w:tcW w:w="1620" w:type="dxa"/>
          </w:tcPr>
          <w:p w:rsidR="00030D4F" w:rsidRDefault="00030D4F" w:rsidP="00F95EE1">
            <w:pPr>
              <w:pStyle w:val="Header"/>
              <w:jc w:val="center"/>
              <w:rPr>
                <w:rFonts w:ascii="Times New Roman" w:hAnsi="Times New Roman"/>
              </w:rPr>
            </w:pPr>
          </w:p>
        </w:tc>
        <w:tc>
          <w:tcPr>
            <w:tcW w:w="466" w:type="dxa"/>
            <w:tcBorders>
              <w:right w:val="nil"/>
            </w:tcBorders>
          </w:tcPr>
          <w:p w:rsidR="00030D4F" w:rsidRDefault="00030D4F" w:rsidP="00F95EE1">
            <w:pPr>
              <w:pStyle w:val="Header"/>
              <w:rPr>
                <w:rFonts w:ascii="Times New Roman" w:hAnsi="Times New Roman"/>
              </w:rPr>
            </w:pPr>
          </w:p>
        </w:tc>
        <w:tc>
          <w:tcPr>
            <w:tcW w:w="434" w:type="dxa"/>
            <w:tcBorders>
              <w:left w:val="nil"/>
              <w:right w:val="nil"/>
            </w:tcBorders>
          </w:tcPr>
          <w:p w:rsidR="00030D4F" w:rsidRDefault="00030D4F"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tc>
        <w:tc>
          <w:tcPr>
            <w:tcW w:w="715" w:type="dxa"/>
          </w:tcPr>
          <w:p w:rsidR="00030D4F" w:rsidRDefault="00030D4F" w:rsidP="00F95EE1">
            <w:pPr>
              <w:pStyle w:val="Header"/>
              <w:rPr>
                <w:rFonts w:ascii="Times New Roman" w:hAnsi="Times New Roman"/>
              </w:rPr>
            </w:pPr>
          </w:p>
        </w:tc>
        <w:tc>
          <w:tcPr>
            <w:tcW w:w="498" w:type="dxa"/>
          </w:tcPr>
          <w:p w:rsidR="00030D4F" w:rsidRDefault="00030D4F" w:rsidP="00F95EE1">
            <w:pPr>
              <w:pStyle w:val="Header"/>
              <w:rPr>
                <w:rFonts w:ascii="Times New Roman" w:hAnsi="Times New Roman"/>
              </w:rPr>
            </w:pPr>
          </w:p>
        </w:tc>
        <w:tc>
          <w:tcPr>
            <w:tcW w:w="1250" w:type="dxa"/>
          </w:tcPr>
          <w:p w:rsidR="00030D4F" w:rsidRDefault="00030D4F"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3C7770" w:rsidRDefault="00030D4F" w:rsidP="00F95EE1">
            <w:pPr>
              <w:pStyle w:val="Header"/>
              <w:rPr>
                <w:rFonts w:ascii="Times New Roman" w:hAnsi="Times New Roman"/>
              </w:rPr>
            </w:pPr>
            <w:r w:rsidRPr="00622A35">
              <w:rPr>
                <w:rFonts w:ascii="Times New Roman" w:hAnsi="Times New Roman"/>
              </w:rPr>
              <w:t>a Federal Reserve Bank;</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rsidR="004B5791" w:rsidRDefault="004B5791" w:rsidP="00F95EE1">
            <w:pPr>
              <w:pStyle w:val="Header"/>
              <w:rPr>
                <w:rFonts w:ascii="Times New Roman" w:hAnsi="Times New Roman"/>
              </w:rPr>
            </w:pPr>
          </w:p>
          <w:p w:rsidR="004B5791" w:rsidRDefault="004B5791"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677A1E" w:rsidTr="004B5791">
        <w:trPr>
          <w:cantSplit/>
        </w:trPr>
        <w:tc>
          <w:tcPr>
            <w:tcW w:w="1620" w:type="dxa"/>
          </w:tcPr>
          <w:p w:rsidR="00677A1E" w:rsidRDefault="00677A1E" w:rsidP="00F95EE1">
            <w:pPr>
              <w:pStyle w:val="Header"/>
              <w:jc w:val="center"/>
              <w:rPr>
                <w:rFonts w:ascii="Times New Roman" w:hAnsi="Times New Roman"/>
              </w:rPr>
            </w:pPr>
          </w:p>
        </w:tc>
        <w:tc>
          <w:tcPr>
            <w:tcW w:w="466" w:type="dxa"/>
            <w:tcBorders>
              <w:right w:val="nil"/>
            </w:tcBorders>
          </w:tcPr>
          <w:p w:rsidR="00677A1E" w:rsidRDefault="00677A1E" w:rsidP="00F95EE1">
            <w:pPr>
              <w:pStyle w:val="Header"/>
              <w:rPr>
                <w:rFonts w:ascii="Times New Roman" w:hAnsi="Times New Roman"/>
              </w:rPr>
            </w:pPr>
          </w:p>
        </w:tc>
        <w:tc>
          <w:tcPr>
            <w:tcW w:w="434" w:type="dxa"/>
            <w:tcBorders>
              <w:left w:val="nil"/>
              <w:right w:val="nil"/>
            </w:tcBorders>
          </w:tcPr>
          <w:p w:rsidR="00677A1E" w:rsidRDefault="00677A1E" w:rsidP="00F95EE1">
            <w:pPr>
              <w:pStyle w:val="Header"/>
              <w:rPr>
                <w:rFonts w:ascii="Times New Roman" w:hAnsi="Times New Roman"/>
              </w:rPr>
            </w:pPr>
          </w:p>
        </w:tc>
        <w:tc>
          <w:tcPr>
            <w:tcW w:w="540" w:type="dxa"/>
            <w:gridSpan w:val="2"/>
            <w:tcBorders>
              <w:left w:val="nil"/>
              <w:right w:val="nil"/>
            </w:tcBorders>
          </w:tcPr>
          <w:p w:rsidR="00677A1E" w:rsidRDefault="00677A1E"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rsidR="00677A1E" w:rsidRPr="00030D4F" w:rsidRDefault="00677A1E" w:rsidP="00F95EE1">
            <w:pPr>
              <w:pStyle w:val="Header"/>
              <w:rPr>
                <w:rFonts w:ascii="Times New Roman" w:hAnsi="Times New Roman"/>
              </w:rPr>
            </w:pPr>
            <w:r w:rsidRPr="00677A1E">
              <w:rPr>
                <w:rFonts w:ascii="Times New Roman" w:hAnsi="Times New Roman"/>
              </w:rPr>
              <w:t>a securities broker-dealer, or an affiliate of it, that</w:t>
            </w:r>
          </w:p>
        </w:tc>
        <w:tc>
          <w:tcPr>
            <w:tcW w:w="715" w:type="dxa"/>
          </w:tcPr>
          <w:p w:rsidR="00677A1E" w:rsidRDefault="00677A1E" w:rsidP="00F95EE1">
            <w:pPr>
              <w:pStyle w:val="Header"/>
              <w:rPr>
                <w:rFonts w:ascii="Times New Roman" w:hAnsi="Times New Roman"/>
              </w:rPr>
            </w:pPr>
          </w:p>
        </w:tc>
        <w:tc>
          <w:tcPr>
            <w:tcW w:w="498" w:type="dxa"/>
          </w:tcPr>
          <w:p w:rsidR="00677A1E" w:rsidRDefault="00677A1E" w:rsidP="00F95EE1">
            <w:pPr>
              <w:pStyle w:val="Header"/>
              <w:rPr>
                <w:rFonts w:ascii="Times New Roman" w:hAnsi="Times New Roman"/>
              </w:rPr>
            </w:pPr>
          </w:p>
        </w:tc>
        <w:tc>
          <w:tcPr>
            <w:tcW w:w="1250" w:type="dxa"/>
          </w:tcPr>
          <w:p w:rsidR="00677A1E" w:rsidRDefault="00677A1E" w:rsidP="00F95EE1">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rsidR="004B5791" w:rsidRPr="00F13F90"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A66C7">
        <w:trPr>
          <w:cantSplit/>
        </w:trPr>
        <w:tc>
          <w:tcPr>
            <w:tcW w:w="1620" w:type="dxa"/>
          </w:tcPr>
          <w:p w:rsidR="004B5791" w:rsidRDefault="004B5791" w:rsidP="009B78F3">
            <w:pPr>
              <w:pStyle w:val="Header"/>
              <w:jc w:val="center"/>
              <w:rPr>
                <w:rFonts w:ascii="Times New Roman" w:hAnsi="Times New Roman"/>
              </w:rPr>
            </w:pPr>
          </w:p>
        </w:tc>
        <w:tc>
          <w:tcPr>
            <w:tcW w:w="466" w:type="dxa"/>
            <w:tcBorders>
              <w:right w:val="nil"/>
            </w:tcBorders>
          </w:tcPr>
          <w:p w:rsidR="004B5791" w:rsidRDefault="004B5791" w:rsidP="009B78F3">
            <w:pPr>
              <w:pStyle w:val="Header"/>
              <w:rPr>
                <w:rFonts w:ascii="Times New Roman" w:hAnsi="Times New Roman"/>
              </w:rPr>
            </w:pPr>
          </w:p>
        </w:tc>
        <w:tc>
          <w:tcPr>
            <w:tcW w:w="434" w:type="dxa"/>
            <w:tcBorders>
              <w:left w:val="nil"/>
              <w:right w:val="nil"/>
            </w:tcBorders>
          </w:tcPr>
          <w:p w:rsidR="004B5791"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rsidR="004B5791" w:rsidRPr="00F13F90"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tc>
        <w:tc>
          <w:tcPr>
            <w:tcW w:w="715" w:type="dxa"/>
          </w:tcPr>
          <w:p w:rsidR="004B5791" w:rsidRDefault="004B5791" w:rsidP="009B78F3">
            <w:pPr>
              <w:pStyle w:val="Header"/>
              <w:rPr>
                <w:rFonts w:ascii="Times New Roman" w:hAnsi="Times New Roman"/>
              </w:rPr>
            </w:pPr>
          </w:p>
        </w:tc>
        <w:tc>
          <w:tcPr>
            <w:tcW w:w="498" w:type="dxa"/>
          </w:tcPr>
          <w:p w:rsidR="004B5791" w:rsidRDefault="004B5791" w:rsidP="009B78F3">
            <w:pPr>
              <w:pStyle w:val="Header"/>
              <w:rPr>
                <w:rFonts w:ascii="Times New Roman" w:hAnsi="Times New Roman"/>
              </w:rPr>
            </w:pPr>
          </w:p>
        </w:tc>
        <w:tc>
          <w:tcPr>
            <w:tcW w:w="1250" w:type="dxa"/>
          </w:tcPr>
          <w:p w:rsidR="004B5791" w:rsidRDefault="004B5791" w:rsidP="009B78F3">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rsidR="004B5791" w:rsidRPr="00F13F90" w:rsidRDefault="004B5791" w:rsidP="004B5791">
            <w:pPr>
              <w:rPr>
                <w:sz w:val="20"/>
                <w:szCs w:val="20"/>
              </w:rPr>
            </w:pPr>
            <w:proofErr w:type="gramStart"/>
            <w:r w:rsidRPr="00F13F90">
              <w:rPr>
                <w:sz w:val="20"/>
                <w:szCs w:val="20"/>
              </w:rPr>
              <w:t>maintains</w:t>
            </w:r>
            <w:proofErr w:type="gramEnd"/>
            <w:r w:rsidRPr="00F13F90">
              <w:rPr>
                <w:sz w:val="20"/>
                <w:szCs w:val="20"/>
              </w:rPr>
              <w:t xml:space="preserve"> insurance through the Security Investor Protection Corporation (SIPC) or excess insurance coverage in an amount equal to or greater than the value of the securities held? </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C.</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 (see L and M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D.</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for a period of 90 days or less;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only</w:t>
            </w:r>
            <w:proofErr w:type="gramEnd"/>
            <w:r>
              <w:rPr>
                <w:rFonts w:ascii="Times New Roman" w:hAnsi="Times New Roman"/>
              </w:rPr>
              <w:t xml:space="preserve"> to meet short-term cash needs and not to generate cash for investments?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E.</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qualified as a depository;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F.</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w:t>
            </w:r>
            <w:proofErr w:type="gramStart"/>
            <w:r>
              <w:rPr>
                <w:rFonts w:ascii="Times New Roman" w:hAnsi="Times New Roman"/>
              </w:rPr>
              <w:t>above</w:t>
            </w:r>
            <w:proofErr w:type="gramEnd"/>
            <w:r>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tc>
        <w:tc>
          <w:tcPr>
            <w:tcW w:w="466" w:type="dxa"/>
            <w:tcBorders>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G.</w:t>
            </w:r>
          </w:p>
        </w:tc>
        <w:tc>
          <w:tcPr>
            <w:tcW w:w="6194" w:type="dxa"/>
            <w:gridSpan w:val="6"/>
            <w:tcBorders>
              <w:left w:val="nil"/>
              <w:bottom w:val="single" w:sz="4" w:space="0" w:color="auto"/>
            </w:tcBorders>
          </w:tcPr>
          <w:p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Pr="00F13F90" w:rsidRDefault="004B5791" w:rsidP="00F95EE1">
            <w:pPr>
              <w:pStyle w:val="Header"/>
              <w:rPr>
                <w:rFonts w:ascii="Times New Roman" w:hAnsi="Times New Roman"/>
              </w:rPr>
            </w:pPr>
          </w:p>
        </w:tc>
        <w:tc>
          <w:tcPr>
            <w:tcW w:w="434" w:type="dxa"/>
            <w:tcBorders>
              <w:left w:val="nil"/>
              <w:right w:val="nil"/>
            </w:tcBorders>
          </w:tcPr>
          <w:p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5"/>
            <w:tcBorders>
              <w:left w:val="nil"/>
            </w:tcBorders>
          </w:tcPr>
          <w:p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a.</w:t>
            </w:r>
          </w:p>
        </w:tc>
        <w:tc>
          <w:tcPr>
            <w:tcW w:w="5310" w:type="dxa"/>
            <w:gridSpan w:val="4"/>
            <w:tcBorders>
              <w:left w:val="nil"/>
              <w:bottom w:val="single" w:sz="4" w:space="0" w:color="auto"/>
            </w:tcBorders>
          </w:tcPr>
          <w:p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310" w:type="dxa"/>
            <w:gridSpan w:val="4"/>
            <w:tcBorders>
              <w:left w:val="nil"/>
            </w:tcBorders>
          </w:tcPr>
          <w:p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H.</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I.</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 and 118A.05?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J.</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Mutual Funds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whose fund received the highest credit rating;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d.</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e.</w:t>
            </w:r>
          </w:p>
        </w:tc>
        <w:tc>
          <w:tcPr>
            <w:tcW w:w="5220" w:type="dxa"/>
            <w:gridSpan w:val="3"/>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that</w:t>
            </w:r>
            <w:proofErr w:type="gramEnd"/>
            <w:r>
              <w:rPr>
                <w:rFonts w:ascii="Times New Roman" w:hAnsi="Times New Roman"/>
              </w:rPr>
              <w:t xml:space="preserve"> only invests in financial instruments with a final maturity no longer than 13 months?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which holds itself out as a money market fund meeting the conditions of SEC Rule 2a-7;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is</w:t>
            </w:r>
            <w:proofErr w:type="gramEnd"/>
            <w:r>
              <w:rPr>
                <w:rFonts w:ascii="Times New Roman" w:hAnsi="Times New Roman"/>
              </w:rPr>
              <w:t xml:space="preserve"> rated in one of the two highest rating categories for money market funds by at least one nationally recognized statistical rating organization?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K.</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which investments are restricted to securities described in Minn. Stat. §§ 118A.04-.05?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L.</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4.</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5.</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matures in 270 days or less;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6.</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7.</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 bankers’ acceptances issued by United States banks;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8.</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 xml:space="preserve">In its own temporary obligations issued under Minn. Stat. §§ 429.091, </w:t>
            </w:r>
            <w:proofErr w:type="spellStart"/>
            <w:r>
              <w:rPr>
                <w:rFonts w:ascii="Times New Roman" w:hAnsi="Times New Roman"/>
              </w:rPr>
              <w:t>subd</w:t>
            </w:r>
            <w:proofErr w:type="spellEnd"/>
            <w:r>
              <w:rPr>
                <w:rFonts w:ascii="Times New Roman" w:hAnsi="Times New Roman"/>
              </w:rPr>
              <w:t xml:space="preserve">. 7 (special assessments); 469.178, </w:t>
            </w:r>
            <w:proofErr w:type="spellStart"/>
            <w:r>
              <w:rPr>
                <w:rFonts w:ascii="Times New Roman" w:hAnsi="Times New Roman"/>
              </w:rPr>
              <w:t>subd</w:t>
            </w:r>
            <w:proofErr w:type="spellEnd"/>
            <w:r>
              <w:rPr>
                <w:rFonts w:ascii="Times New Roman" w:hAnsi="Times New Roman"/>
              </w:rPr>
              <w:t xml:space="preserve">. 5 (tax increment bonds); or 475.61, </w:t>
            </w:r>
            <w:proofErr w:type="spellStart"/>
            <w:r>
              <w:rPr>
                <w:rFonts w:ascii="Times New Roman" w:hAnsi="Times New Roman"/>
              </w:rPr>
              <w:t>subd</w:t>
            </w:r>
            <w:proofErr w:type="spellEnd"/>
            <w:r>
              <w:rPr>
                <w:rFonts w:ascii="Times New Roman" w:hAnsi="Times New Roman"/>
              </w:rPr>
              <w:t>. 6?</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8</w:t>
            </w:r>
          </w:p>
          <w:p w:rsidR="004B5791" w:rsidRDefault="004B5791" w:rsidP="00F95EE1">
            <w:pPr>
              <w:pStyle w:val="Header"/>
              <w:jc w:val="center"/>
              <w:rPr>
                <w:rFonts w:ascii="Times New Roman" w:hAnsi="Times New Roman"/>
              </w:rPr>
            </w:pPr>
          </w:p>
        </w:tc>
        <w:tc>
          <w:tcPr>
            <w:tcW w:w="6660" w:type="dxa"/>
            <w:gridSpan w:val="7"/>
            <w:tcBorders>
              <w:bottom w:val="single" w:sz="4" w:space="0" w:color="auto"/>
            </w:tcBorders>
          </w:tcPr>
          <w:p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xml:space="preserve">§ 118A.04, </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M.</w:t>
            </w: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AD5F6C">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2 </w:t>
            </w:r>
            <w:r w:rsidR="00AD5F6C">
              <w:rPr>
                <w:rFonts w:ascii="Times New Roman" w:hAnsi="Times New Roman"/>
              </w:rPr>
              <w:t>and</w:t>
            </w:r>
            <w:r>
              <w:rPr>
                <w:rFonts w:ascii="Times New Roman" w:hAnsi="Times New Roman"/>
              </w:rPr>
              <w:t xml:space="preserve"> 6</w:t>
            </w: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6"/>
            <w:tcBorders>
              <w:left w:val="nil"/>
            </w:tcBorders>
          </w:tcPr>
          <w:p w:rsidR="004B5791" w:rsidRDefault="004B5791" w:rsidP="00F95EE1">
            <w:pPr>
              <w:pStyle w:val="Header"/>
              <w:rPr>
                <w:rFonts w:ascii="Times New Roman" w:hAnsi="Times New Roman"/>
              </w:rPr>
            </w:pPr>
            <w:r>
              <w:rPr>
                <w:rFonts w:ascii="Times New Roman" w:hAnsi="Times New Roman"/>
              </w:rPr>
              <w:t xml:space="preserve">Mortgage-backed securities purchased shall not be “high risk.”  Minn. Stat. § 118A.04, </w:t>
            </w:r>
            <w:proofErr w:type="spellStart"/>
            <w:r>
              <w:rPr>
                <w:rFonts w:ascii="Times New Roman" w:hAnsi="Times New Roman"/>
              </w:rPr>
              <w:t>subd</w:t>
            </w:r>
            <w:proofErr w:type="spellEnd"/>
            <w:r>
              <w:rPr>
                <w:rFonts w:ascii="Times New Roman" w:hAnsi="Times New Roman"/>
              </w:rPr>
              <w:t>. 6, states “high risk mortgage-backed securities” are: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any mortgage derivative security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greater than ten years;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4770" w:type="dxa"/>
            <w:gridSpan w:val="2"/>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4770" w:type="dxa"/>
            <w:gridSpan w:val="2"/>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3"/>
            <w:tcBorders>
              <w:left w:val="nil"/>
              <w:bottom w:val="single" w:sz="4" w:space="0" w:color="auto"/>
            </w:tcBorders>
          </w:tcPr>
          <w:p w:rsidR="004B5791" w:rsidRDefault="004B5791" w:rsidP="00F95EE1">
            <w:pPr>
              <w:pStyle w:val="Header"/>
              <w:rPr>
                <w:rFonts w:ascii="Times New Roman" w:hAnsi="Times New Roman"/>
              </w:rPr>
            </w:pPr>
            <w:proofErr w:type="gramStart"/>
            <w:r>
              <w:rPr>
                <w:rFonts w:ascii="Times New Roman" w:hAnsi="Times New Roman"/>
              </w:rPr>
              <w:t>will</w:t>
            </w:r>
            <w:proofErr w:type="gramEnd"/>
            <w:r>
              <w:rPr>
                <w:rFonts w:ascii="Times New Roman" w:hAnsi="Times New Roman"/>
              </w:rPr>
              <w:t xml:space="preserve"> have an estimated change in price of more than 17 percent as the result of an immediate and sustained parallel shift in the yield curve of plus or minus 300 basis points.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118A.04,</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9</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AC17F3" w:rsidP="00D80CD3">
            <w:pPr>
              <w:pStyle w:val="Header"/>
              <w:jc w:val="center"/>
              <w:rPr>
                <w:rFonts w:ascii="Times New Roman" w:hAnsi="Times New Roman"/>
              </w:rPr>
            </w:pPr>
            <w:r>
              <w:rPr>
                <w:rFonts w:ascii="Times New Roman" w:hAnsi="Times New Roman"/>
              </w:rPr>
              <w:t>§ 124E</w:t>
            </w:r>
            <w:r w:rsidR="00D80CD3">
              <w:rPr>
                <w:rFonts w:ascii="Times New Roman" w:hAnsi="Times New Roman"/>
              </w:rPr>
              <w:t xml:space="preserve">.16, </w:t>
            </w:r>
            <w:proofErr w:type="spellStart"/>
            <w:r w:rsidR="00D80CD3">
              <w:rPr>
                <w:rFonts w:ascii="Times New Roman" w:hAnsi="Times New Roman"/>
              </w:rPr>
              <w:t>subd</w:t>
            </w:r>
            <w:proofErr w:type="spellEnd"/>
            <w:r w:rsidR="00D80CD3">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Pursuant to </w:t>
            </w:r>
            <w:r w:rsidR="00D80CD3">
              <w:rPr>
                <w:rFonts w:ascii="Times New Roman" w:hAnsi="Times New Roman"/>
              </w:rPr>
              <w:t xml:space="preserve">Minn. Stat. § 124E.16, </w:t>
            </w:r>
            <w:proofErr w:type="spellStart"/>
            <w:r w:rsidR="00D80CD3">
              <w:rPr>
                <w:rFonts w:ascii="Times New Roman" w:hAnsi="Times New Roman"/>
              </w:rPr>
              <w:t>subd</w:t>
            </w:r>
            <w:proofErr w:type="spellEnd"/>
            <w:r w:rsidR="00D80CD3">
              <w:rPr>
                <w:rFonts w:ascii="Times New Roman" w:hAnsi="Times New Roman"/>
              </w:rPr>
              <w:t>. 1</w:t>
            </w:r>
            <w:r>
              <w:rPr>
                <w:rFonts w:ascii="Times New Roman" w:hAnsi="Times New Roman"/>
              </w:rPr>
              <w:t>, charter schools are subject to and must comply with Minn. Stat. §§ 471.38, 471.391, 471.392, and 471.425.</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every person or the person’s agent claiming payment put such claim in writing (which includes an electronic transaction record) in items?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declaration for payment (described below) been signed to the effect that such account, claim, or demand is just and correct and that no part of it has been paid?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471.38,</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6660" w:type="dxa"/>
            <w:gridSpan w:val="3"/>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3C7770" w:rsidTr="00F95EE1">
        <w:trPr>
          <w:cantSplit/>
        </w:trPr>
        <w:tc>
          <w:tcPr>
            <w:tcW w:w="1620" w:type="dxa"/>
            <w:tcBorders>
              <w:bottom w:val="nil"/>
            </w:tcBorders>
          </w:tcPr>
          <w:p w:rsidR="003C7770" w:rsidRDefault="003C7770" w:rsidP="00F95EE1">
            <w:pPr>
              <w:pStyle w:val="Header"/>
              <w:jc w:val="center"/>
              <w:rPr>
                <w:rFonts w:ascii="Times New Roman" w:hAnsi="Times New Roman"/>
              </w:rPr>
            </w:pPr>
            <w:r>
              <w:rPr>
                <w:rFonts w:ascii="Times New Roman" w:hAnsi="Times New Roman"/>
              </w:rPr>
              <w:t>§ 471.391,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6660" w:type="dxa"/>
            <w:gridSpan w:val="3"/>
            <w:tcBorders>
              <w:bottom w:val="nil"/>
            </w:tcBorders>
          </w:tcPr>
          <w:p w:rsidR="003C7770" w:rsidRDefault="003C7770" w:rsidP="00F95EE1">
            <w:pPr>
              <w:pStyle w:val="Header"/>
              <w:rPr>
                <w:rFonts w:ascii="Times New Roman" w:hAnsi="Times New Roman"/>
              </w:rPr>
            </w:pPr>
            <w:r>
              <w:rPr>
                <w:rFonts w:ascii="Times New Roman" w:hAnsi="Times New Roman"/>
              </w:rPr>
              <w:t>Declaration Form - The declaration is sufficient if in the following form:  “I declare under the penalties of law that this account, claim or demand is just and correct and that no part of it has been paid.</w:t>
            </w:r>
            <w:r w:rsidR="009070D5">
              <w:rPr>
                <w:rFonts w:ascii="Times New Roman" w:hAnsi="Times New Roman"/>
              </w:rPr>
              <w:t>”</w:t>
            </w:r>
          </w:p>
          <w:p w:rsidR="003C7770" w:rsidRDefault="003C7770" w:rsidP="00F95EE1">
            <w:pPr>
              <w:pStyle w:val="Header"/>
              <w:rPr>
                <w:rFonts w:ascii="Times New Roman" w:hAnsi="Times New Roman"/>
              </w:rPr>
            </w:pPr>
          </w:p>
        </w:tc>
        <w:tc>
          <w:tcPr>
            <w:tcW w:w="715" w:type="dxa"/>
            <w:tcBorders>
              <w:bottom w:val="nil"/>
            </w:tcBorders>
          </w:tcPr>
          <w:p w:rsidR="003C7770" w:rsidRDefault="003C7770" w:rsidP="00F95EE1">
            <w:pPr>
              <w:pStyle w:val="Header"/>
              <w:rPr>
                <w:rFonts w:ascii="Times New Roman" w:hAnsi="Times New Roman"/>
              </w:rPr>
            </w:pPr>
          </w:p>
        </w:tc>
        <w:tc>
          <w:tcPr>
            <w:tcW w:w="498" w:type="dxa"/>
            <w:tcBorders>
              <w:bottom w:val="nil"/>
            </w:tcBorders>
          </w:tcPr>
          <w:p w:rsidR="003C7770" w:rsidRDefault="003C7770" w:rsidP="00F95EE1">
            <w:pPr>
              <w:pStyle w:val="Header"/>
              <w:rPr>
                <w:rFonts w:ascii="Times New Roman" w:hAnsi="Times New Roman"/>
              </w:rPr>
            </w:pPr>
          </w:p>
        </w:tc>
        <w:tc>
          <w:tcPr>
            <w:tcW w:w="1250" w:type="dxa"/>
            <w:tcBorders>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6660" w:type="dxa"/>
            <w:gridSpan w:val="3"/>
            <w:tcBorders>
              <w:top w:val="nil"/>
            </w:tcBorders>
          </w:tcPr>
          <w:p w:rsidR="003C7770" w:rsidRDefault="003C7770" w:rsidP="00F95EE1">
            <w:pPr>
              <w:pStyle w:val="Header"/>
              <w:jc w:val="center"/>
              <w:rPr>
                <w:rFonts w:ascii="Times New Roman" w:hAnsi="Times New Roman"/>
              </w:rPr>
            </w:pPr>
          </w:p>
          <w:p w:rsidR="003C7770" w:rsidRDefault="003C7770" w:rsidP="00F95EE1">
            <w:pPr>
              <w:pStyle w:val="Header"/>
              <w:jc w:val="center"/>
              <w:rPr>
                <w:rFonts w:ascii="Times New Roman" w:hAnsi="Times New Roman"/>
              </w:rPr>
            </w:pPr>
            <w:r>
              <w:rPr>
                <w:rFonts w:ascii="Times New Roman" w:hAnsi="Times New Roman"/>
              </w:rPr>
              <w:t>_</w:t>
            </w:r>
            <w:r>
              <w:rPr>
                <w:rFonts w:ascii="Times New Roman" w:hAnsi="Times New Roman"/>
                <w:b/>
                <w:bCs/>
              </w:rPr>
              <w:t>_____________________________________________</w:t>
            </w:r>
          </w:p>
          <w:p w:rsidR="003C7770" w:rsidRDefault="003C7770" w:rsidP="00F95EE1">
            <w:pPr>
              <w:pStyle w:val="Header"/>
              <w:jc w:val="center"/>
              <w:rPr>
                <w:rFonts w:ascii="Times New Roman" w:hAnsi="Times New Roman"/>
              </w:rPr>
            </w:pPr>
            <w:r>
              <w:rPr>
                <w:rFonts w:ascii="Times New Roman" w:hAnsi="Times New Roman"/>
              </w:rPr>
              <w:t>(Signature of Claimant)</w:t>
            </w:r>
          </w:p>
          <w:p w:rsidR="003C7770" w:rsidRDefault="003C7770" w:rsidP="00F95EE1">
            <w:pPr>
              <w:pStyle w:val="Header"/>
              <w:jc w:val="cent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471.391,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6660" w:type="dxa"/>
            <w:gridSpan w:val="3"/>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[charter school], and that no part of it has heretofore been paid.”  When endorsed by the payee named in the check or order-check, such statement shall operate and shall be deemed sufficient as the required declaration of the claim.</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471.392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Any person who willfully and falsely makes the declaration provided for is guilty of a felony.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Prompt Payment of Local Government Bills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3C7770" w:rsidTr="00F95EE1">
        <w:trPr>
          <w:cantSplit/>
        </w:trPr>
        <w:tc>
          <w:tcPr>
            <w:tcW w:w="1620" w:type="dxa"/>
            <w:tcBorders>
              <w:bottom w:val="nil"/>
            </w:tcBorders>
          </w:tcPr>
          <w:p w:rsidR="003C7770" w:rsidRDefault="003C7770" w:rsidP="00F95EE1">
            <w:pPr>
              <w:pStyle w:val="Header"/>
              <w:rPr>
                <w:rFonts w:ascii="Times New Roman" w:hAnsi="Times New Roman"/>
              </w:rPr>
            </w:pPr>
          </w:p>
        </w:tc>
        <w:tc>
          <w:tcPr>
            <w:tcW w:w="466" w:type="dxa"/>
            <w:tcBorders>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2"/>
            <w:tcBorders>
              <w:left w:val="nil"/>
              <w:bottom w:val="nil"/>
            </w:tcBorders>
          </w:tcPr>
          <w:p w:rsidR="003C7770" w:rsidRDefault="003C7770" w:rsidP="00F95EE1">
            <w:pPr>
              <w:pStyle w:val="Header"/>
              <w:rPr>
                <w:rFonts w:ascii="Times New Roman" w:hAnsi="Times New Roman"/>
              </w:rPr>
            </w:pPr>
            <w:r>
              <w:rPr>
                <w:rFonts w:ascii="Times New Roman" w:hAnsi="Times New Roman"/>
              </w:rPr>
              <w:t>Standard payment period is:</w:t>
            </w:r>
          </w:p>
          <w:p w:rsidR="003C7770" w:rsidRDefault="003C7770" w:rsidP="00F95EE1">
            <w:pPr>
              <w:pStyle w:val="Header"/>
              <w:rPr>
                <w:rFonts w:ascii="Times New Roman" w:hAnsi="Times New Roman"/>
              </w:rPr>
            </w:pPr>
          </w:p>
        </w:tc>
        <w:tc>
          <w:tcPr>
            <w:tcW w:w="715" w:type="dxa"/>
            <w:tcBorders>
              <w:bottom w:val="nil"/>
            </w:tcBorders>
          </w:tcPr>
          <w:p w:rsidR="003C7770" w:rsidRDefault="003C7770" w:rsidP="00F95EE1">
            <w:pPr>
              <w:pStyle w:val="Header"/>
              <w:rPr>
                <w:rFonts w:ascii="Times New Roman" w:hAnsi="Times New Roman"/>
              </w:rPr>
            </w:pPr>
          </w:p>
        </w:tc>
        <w:tc>
          <w:tcPr>
            <w:tcW w:w="498" w:type="dxa"/>
            <w:tcBorders>
              <w:bottom w:val="nil"/>
            </w:tcBorders>
          </w:tcPr>
          <w:p w:rsidR="003C7770" w:rsidRDefault="003C7770" w:rsidP="00F95EE1">
            <w:pPr>
              <w:pStyle w:val="Header"/>
              <w:rPr>
                <w:rFonts w:ascii="Times New Roman" w:hAnsi="Times New Roman"/>
              </w:rPr>
            </w:pPr>
          </w:p>
        </w:tc>
        <w:tc>
          <w:tcPr>
            <w:tcW w:w="1250" w:type="dxa"/>
            <w:tcBorders>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466" w:type="dxa"/>
            <w:tcBorders>
              <w:top w:val="nil"/>
              <w:right w:val="nil"/>
            </w:tcBorders>
          </w:tcPr>
          <w:p w:rsidR="003C7770" w:rsidRDefault="003C7770" w:rsidP="00F95EE1">
            <w:pPr>
              <w:pStyle w:val="Header"/>
              <w:rPr>
                <w:rFonts w:ascii="Times New Roman" w:hAnsi="Times New Roman"/>
              </w:rPr>
            </w:pPr>
          </w:p>
        </w:tc>
        <w:tc>
          <w:tcPr>
            <w:tcW w:w="434" w:type="dxa"/>
            <w:tcBorders>
              <w:top w:val="nil"/>
              <w:left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rsidR="003C7770" w:rsidRDefault="003C7770" w:rsidP="00F95EE1">
            <w:pPr>
              <w:pStyle w:val="Header"/>
              <w:rPr>
                <w:rFonts w:ascii="Times New Roman" w:hAnsi="Times New Roman"/>
              </w:rPr>
            </w:pPr>
            <w:r>
              <w:rPr>
                <w:rFonts w:ascii="Times New Roman" w:hAnsi="Times New Roman"/>
              </w:rPr>
              <w:t>45 days from receipt for joint powers entities.</w:t>
            </w:r>
          </w:p>
          <w:p w:rsidR="003C7770" w:rsidRDefault="003C7770" w:rsidP="00F95EE1">
            <w:pPr>
              <w:pStyle w:val="Head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76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4a</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6660" w:type="dxa"/>
            <w:gridSpan w:val="3"/>
          </w:tcPr>
          <w:p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rsidR="003C7770" w:rsidRDefault="003C7770" w:rsidP="00F95EE1">
            <w:pPr>
              <w:pStyle w:val="Header"/>
              <w:jc w:val="both"/>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620" w:type="dxa"/>
            <w:tcBorders>
              <w:right w:val="nil"/>
            </w:tcBorders>
          </w:tcPr>
          <w:p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 xml:space="preserve">24E.16, </w:t>
            </w:r>
            <w:proofErr w:type="spellStart"/>
            <w:r w:rsidR="00D80CD3">
              <w:rPr>
                <w:rFonts w:ascii="Times New Roman" w:hAnsi="Times New Roman"/>
              </w:rPr>
              <w:t>subd</w:t>
            </w:r>
            <w:proofErr w:type="spellEnd"/>
            <w:r w:rsidR="00D80CD3">
              <w:rPr>
                <w:rFonts w:ascii="Times New Roman" w:hAnsi="Times New Roman"/>
              </w:rPr>
              <w:t>. 1</w:t>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 xml:space="preserve">&amp;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3 </w:t>
            </w:r>
            <w:r w:rsidR="00AD5F6C">
              <w:rPr>
                <w:rFonts w:ascii="Times New Roman" w:hAnsi="Times New Roman"/>
              </w:rPr>
              <w:t>and</w:t>
            </w:r>
            <w:r>
              <w:rPr>
                <w:rFonts w:ascii="Times New Roman" w:hAnsi="Times New Roman"/>
              </w:rPr>
              <w:t xml:space="preserve"> 3a</w:t>
            </w:r>
          </w:p>
          <w:p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rsidR="003C7770" w:rsidRDefault="003C7770" w:rsidP="00F95EE1">
            <w:pPr>
              <w:pStyle w:val="Header"/>
              <w:jc w:val="cent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tax or aid anticipation certificates;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vendor payments; 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payment</w:t>
            </w:r>
            <w:proofErr w:type="gramEnd"/>
            <w:r>
              <w:rPr>
                <w:rFonts w:ascii="Times New Roman" w:hAnsi="Times New Roman"/>
              </w:rPr>
              <w:t xml:space="preserve"> of bond principal, bond interest, and a fiscal agent service charge from the debt redemption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annual</w:t>
            </w:r>
            <w:proofErr w:type="gramEnd"/>
            <w:r>
              <w:rPr>
                <w:rFonts w:ascii="Times New Roman" w:hAnsi="Times New Roman"/>
              </w:rPr>
              <w:t xml:space="preserve"> delegation of authority to make electronic funds transfers to a designated business administrator?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disbursing bank to keep a certified copy of delegation of authority?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identification</w:t>
            </w:r>
            <w:proofErr w:type="gramEnd"/>
            <w:r>
              <w:rPr>
                <w:rFonts w:ascii="Times New Roman" w:hAnsi="Times New Roman"/>
              </w:rPr>
              <w:t xml:space="preserve"> of the initiator of each electronic transfer?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initiator to document the request and obtain approval for each transfer from the designated business administrator, prior to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written</w:t>
            </w:r>
            <w:proofErr w:type="gramEnd"/>
            <w:r>
              <w:rPr>
                <w:rFonts w:ascii="Times New Roman" w:hAnsi="Times New Roman"/>
              </w:rPr>
              <w:t xml:space="preserve"> confirmation of each transaction within one business day?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list of transactions to be submitted to the charter school’s board at the next regular meeting after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344519" w:rsidRDefault="003C7770" w:rsidP="003C7770">
      <w:pPr>
        <w:rPr>
          <w:sz w:val="8"/>
          <w:szCs w:val="8"/>
        </w:rPr>
      </w:pPr>
    </w:p>
    <w:tbl>
      <w:tblPr>
        <w:tblW w:w="107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417"/>
        <w:gridCol w:w="203"/>
        <w:gridCol w:w="55"/>
        <w:gridCol w:w="411"/>
        <w:gridCol w:w="141"/>
        <w:gridCol w:w="293"/>
        <w:gridCol w:w="5760"/>
        <w:gridCol w:w="67"/>
        <w:gridCol w:w="630"/>
        <w:gridCol w:w="18"/>
        <w:gridCol w:w="498"/>
        <w:gridCol w:w="24"/>
        <w:gridCol w:w="1182"/>
        <w:gridCol w:w="44"/>
      </w:tblGrid>
      <w:tr w:rsidR="003C7770" w:rsidTr="00337889">
        <w:trPr>
          <w:gridBefore w:val="1"/>
          <w:wBefore w:w="23" w:type="dxa"/>
          <w:cantSplit/>
        </w:trPr>
        <w:tc>
          <w:tcPr>
            <w:tcW w:w="1620" w:type="dxa"/>
            <w:gridSpan w:val="2"/>
            <w:tcBorders>
              <w:right w:val="nil"/>
            </w:tcBorders>
          </w:tcPr>
          <w:p w:rsidR="003C7770" w:rsidRDefault="003C7770" w:rsidP="00F95EE1">
            <w:pPr>
              <w:pStyle w:val="Header"/>
              <w:jc w:val="center"/>
              <w:rPr>
                <w:rFonts w:ascii="Times New Roman" w:hAnsi="Times New Roman"/>
              </w:rPr>
            </w:pPr>
          </w:p>
        </w:tc>
        <w:tc>
          <w:tcPr>
            <w:tcW w:w="6660" w:type="dxa"/>
            <w:gridSpan w:val="5"/>
            <w:tcBorders>
              <w:left w:val="nil"/>
              <w:right w:val="nil"/>
            </w:tcBorders>
          </w:tcPr>
          <w:p w:rsidR="003C7770" w:rsidRDefault="003C7770" w:rsidP="00F95EE1">
            <w:pPr>
              <w:pStyle w:val="Header"/>
              <w:jc w:val="center"/>
              <w:rPr>
                <w:rFonts w:ascii="Times New Roman" w:hAnsi="Times New Roman"/>
                <w:b/>
                <w:bCs/>
              </w:rPr>
            </w:pPr>
            <w:r>
              <w:rPr>
                <w:rFonts w:ascii="Times New Roman" w:hAnsi="Times New Roman"/>
                <w:b/>
                <w:bCs/>
              </w:rPr>
              <w:t xml:space="preserve">                    Part X.  Related Party Lease Costs</w:t>
            </w:r>
          </w:p>
          <w:p w:rsidR="003C7770" w:rsidRDefault="003C7770" w:rsidP="00F95EE1">
            <w:pPr>
              <w:pStyle w:val="Header"/>
              <w:jc w:val="center"/>
              <w:rPr>
                <w:rFonts w:ascii="Times New Roman" w:hAnsi="Times New Roman"/>
                <w:b/>
                <w:bCs/>
              </w:rPr>
            </w:pPr>
          </w:p>
        </w:tc>
        <w:tc>
          <w:tcPr>
            <w:tcW w:w="715" w:type="dxa"/>
            <w:gridSpan w:val="3"/>
            <w:tcBorders>
              <w:left w:val="nil"/>
              <w:right w:val="nil"/>
            </w:tcBorders>
          </w:tcPr>
          <w:p w:rsidR="003C7770" w:rsidRDefault="003C7770" w:rsidP="00F95EE1">
            <w:pPr>
              <w:pStyle w:val="Header"/>
              <w:rPr>
                <w:rFonts w:ascii="Times New Roman" w:hAnsi="Times New Roman"/>
              </w:rPr>
            </w:pPr>
          </w:p>
        </w:tc>
        <w:tc>
          <w:tcPr>
            <w:tcW w:w="498" w:type="dxa"/>
            <w:tcBorders>
              <w:left w:val="nil"/>
              <w:right w:val="nil"/>
            </w:tcBorders>
          </w:tcPr>
          <w:p w:rsidR="003C7770" w:rsidRDefault="003C7770" w:rsidP="00F95EE1">
            <w:pPr>
              <w:pStyle w:val="Header"/>
              <w:rPr>
                <w:rFonts w:ascii="Times New Roman" w:hAnsi="Times New Roman"/>
              </w:rPr>
            </w:pPr>
          </w:p>
        </w:tc>
        <w:tc>
          <w:tcPr>
            <w:tcW w:w="1250" w:type="dxa"/>
            <w:gridSpan w:val="3"/>
            <w:tcBorders>
              <w:left w:val="nil"/>
            </w:tcBorders>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AC17F3" w:rsidP="00F95EE1">
            <w:pPr>
              <w:pStyle w:val="Header"/>
              <w:jc w:val="center"/>
              <w:rPr>
                <w:rFonts w:ascii="Times New Roman" w:hAnsi="Times New Roman"/>
              </w:rPr>
            </w:pPr>
            <w:r>
              <w:rPr>
                <w:rFonts w:ascii="Times New Roman" w:hAnsi="Times New Roman"/>
              </w:rPr>
              <w:t>§ 124E</w:t>
            </w:r>
            <w:r w:rsidR="00592E2B">
              <w:rPr>
                <w:rFonts w:ascii="Times New Roman" w:hAnsi="Times New Roman"/>
              </w:rPr>
              <w:t>.02 (a)</w:t>
            </w:r>
          </w:p>
        </w:tc>
        <w:tc>
          <w:tcPr>
            <w:tcW w:w="6660" w:type="dxa"/>
            <w:gridSpan w:val="5"/>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For purposes of this Part: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an affiliate or immediate relative of the other party in question, an affiliate of an immediate relative, or an immediate relative of an affiliate</w:t>
            </w:r>
            <w:r>
              <w:rPr>
                <w:rFonts w:ascii="Times New Roman" w:hAnsi="Times New Roman"/>
              </w:rPr>
              <w: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3"/>
            <w:tcBorders>
              <w:left w:val="nil"/>
            </w:tcBorders>
          </w:tcPr>
          <w:p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3"/>
            <w:tcBorders>
              <w:left w:val="nil"/>
            </w:tcBorders>
          </w:tcPr>
          <w:p w:rsidR="003C7770" w:rsidRDefault="003C7770" w:rsidP="00F95EE1">
            <w:pPr>
              <w:pStyle w:val="Header"/>
              <w:rPr>
                <w:rFonts w:ascii="Times New Roman" w:hAnsi="Times New Roman"/>
              </w:rPr>
            </w:pPr>
            <w:r w:rsidRPr="003C7A75">
              <w:rPr>
                <w:rFonts w:ascii="Times New Roman" w:hAnsi="Times New Roman"/>
              </w:rPr>
              <w:t>"</w:t>
            </w:r>
            <w:proofErr w:type="gramStart"/>
            <w:r w:rsidRPr="003C7A75">
              <w:rPr>
                <w:rFonts w:ascii="Times New Roman" w:hAnsi="Times New Roman"/>
              </w:rPr>
              <w:t>immediate</w:t>
            </w:r>
            <w:proofErr w:type="gramEnd"/>
            <w:r w:rsidRPr="003C7A75">
              <w:rPr>
                <w:rFonts w:ascii="Times New Roman" w:hAnsi="Times New Roman"/>
              </w:rPr>
              <w:t xml:space="preserve"> family" means an individual whose relationship by blood, marriage, adoption, or partnering is no more remote than first cousin</w:t>
            </w:r>
            <w:r>
              <w:rPr>
                <w:rFonts w:ascii="Times New Roman" w:hAnsi="Times New Roman"/>
              </w:rPr>
              <w: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“Person” means an individual or entity of any kind.</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means the ability to affect the management, operations, or policy actions or decisions of a person, whether through ownership of voting securities, by contract, or otherwise.</w:t>
            </w:r>
            <w:r>
              <w:rPr>
                <w:rFonts w:ascii="Times New Roman" w:hAnsi="Times New Roman"/>
              </w:rPr>
              <w:t xml:space="preserve"> </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 xml:space="preserve">124E.13, </w:t>
            </w:r>
            <w:proofErr w:type="spellStart"/>
            <w:r w:rsidR="00592E2B">
              <w:rPr>
                <w:rFonts w:ascii="Times New Roman" w:hAnsi="Times New Roman"/>
              </w:rPr>
              <w:t>subd</w:t>
            </w:r>
            <w:proofErr w:type="spellEnd"/>
            <w:r w:rsidR="00592E2B">
              <w:rPr>
                <w:rFonts w:ascii="Times New Roman" w:hAnsi="Times New Roman"/>
              </w:rPr>
              <w:t>. 2</w:t>
            </w: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p>
        </w:tc>
        <w:tc>
          <w:tcPr>
            <w:tcW w:w="434" w:type="dxa"/>
            <w:gridSpan w:val="2"/>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u w:val="single"/>
              </w:rPr>
            </w:pPr>
            <w:r>
              <w:rPr>
                <w:rFonts w:ascii="Times New Roman" w:hAnsi="Times New Roman"/>
              </w:rPr>
              <w:t xml:space="preserve">was the lessor a nonprofit corporation under chapter 317A or a cooperative under chapter 308A; </w:t>
            </w:r>
            <w:r>
              <w:rPr>
                <w:rFonts w:ascii="Times New Roman" w:hAnsi="Times New Roman"/>
                <w:u w:val="single"/>
              </w:rPr>
              <w:t>and</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rsidR="003C7770" w:rsidRDefault="003C7770" w:rsidP="00F95EE1">
            <w:pPr>
              <w:pStyle w:val="Header"/>
              <w:rPr>
                <w:rFonts w:ascii="Times New Roman" w:hAnsi="Times New Roman"/>
              </w:rPr>
            </w:pPr>
          </w:p>
        </w:tc>
        <w:tc>
          <w:tcPr>
            <w:tcW w:w="434" w:type="dxa"/>
            <w:gridSpan w:val="2"/>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was</w:t>
            </w:r>
            <w:proofErr w:type="gramEnd"/>
            <w:r>
              <w:rPr>
                <w:rFonts w:ascii="Times New Roman" w:hAnsi="Times New Roman"/>
              </w:rPr>
              <w:t xml:space="preserve"> the lease cost reason</w:t>
            </w:r>
            <w:r w:rsidR="00592E2B">
              <w:rPr>
                <w:rFonts w:ascii="Times New Roman" w:hAnsi="Times New Roman"/>
              </w:rPr>
              <w:t xml:space="preserve">able under Minn. Stat. § 124E.13, </w:t>
            </w:r>
            <w:proofErr w:type="spellStart"/>
            <w:r w:rsidR="00592E2B">
              <w:rPr>
                <w:rFonts w:ascii="Times New Roman" w:hAnsi="Times New Roman"/>
              </w:rPr>
              <w:t>subd</w:t>
            </w:r>
            <w:proofErr w:type="spellEnd"/>
            <w:r w:rsidR="00592E2B">
              <w:rPr>
                <w:rFonts w:ascii="Times New Roman" w:hAnsi="Times New Roman"/>
              </w:rPr>
              <w:t>. 2</w:t>
            </w:r>
            <w:r>
              <w:rPr>
                <w:rFonts w:ascii="Times New Roman" w:hAnsi="Times New Roman"/>
              </w:rPr>
              <w: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C7770" w:rsidTr="00337889">
        <w:trPr>
          <w:gridBefore w:val="1"/>
          <w:wBefore w:w="23" w:type="dxa"/>
          <w:cantSplit/>
        </w:trPr>
        <w:tc>
          <w:tcPr>
            <w:tcW w:w="1620" w:type="dxa"/>
            <w:gridSpan w:val="2"/>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xml:space="preserve">, does the lease contain the statement, “This lease is subject to Minnesota Statutes, </w:t>
            </w:r>
            <w:r w:rsidR="00592E2B">
              <w:rPr>
                <w:rFonts w:ascii="Times New Roman" w:hAnsi="Times New Roman"/>
              </w:rPr>
              <w:t>section 124E.13, subdivision 2</w:t>
            </w:r>
            <w:r>
              <w:rPr>
                <w:rFonts w:ascii="Times New Roman" w:hAnsi="Times New Roman"/>
              </w:rPr>
              <w:t>?”</w:t>
            </w:r>
          </w:p>
          <w:p w:rsidR="003C7770" w:rsidRDefault="003C7770" w:rsidP="00F95EE1">
            <w:pPr>
              <w:pStyle w:val="Header"/>
              <w:rPr>
                <w:rFonts w:ascii="Times New Roman" w:hAnsi="Times New Roman"/>
              </w:rPr>
            </w:pPr>
          </w:p>
        </w:tc>
        <w:tc>
          <w:tcPr>
            <w:tcW w:w="715" w:type="dxa"/>
            <w:gridSpan w:val="3"/>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gridSpan w:val="3"/>
          </w:tcPr>
          <w:p w:rsidR="003C7770" w:rsidRDefault="003C7770" w:rsidP="00F95EE1">
            <w:pPr>
              <w:pStyle w:val="Header"/>
              <w:rPr>
                <w:rFonts w:ascii="Times New Roman" w:hAnsi="Times New Roman"/>
              </w:rPr>
            </w:pPr>
          </w:p>
        </w:tc>
      </w:tr>
      <w:tr w:rsidR="00337889" w:rsidTr="00337889">
        <w:trPr>
          <w:gridBefore w:val="1"/>
          <w:wBefore w:w="23" w:type="dxa"/>
          <w:cantSplit/>
        </w:trPr>
        <w:tc>
          <w:tcPr>
            <w:tcW w:w="1620" w:type="dxa"/>
            <w:gridSpan w:val="2"/>
          </w:tcPr>
          <w:p w:rsidR="00337889" w:rsidRDefault="00337889" w:rsidP="00F95EE1">
            <w:pPr>
              <w:pStyle w:val="Header"/>
              <w:jc w:val="center"/>
              <w:rPr>
                <w:rFonts w:ascii="Times New Roman" w:hAnsi="Times New Roman"/>
              </w:rPr>
            </w:pPr>
          </w:p>
        </w:tc>
        <w:tc>
          <w:tcPr>
            <w:tcW w:w="466" w:type="dxa"/>
            <w:gridSpan w:val="2"/>
            <w:tcBorders>
              <w:right w:val="nil"/>
            </w:tcBorders>
          </w:tcPr>
          <w:p w:rsidR="00337889" w:rsidRDefault="00337889" w:rsidP="00337889">
            <w:pPr>
              <w:pStyle w:val="Header"/>
              <w:jc w:val="center"/>
              <w:rPr>
                <w:rFonts w:ascii="Times New Roman" w:hAnsi="Times New Roman"/>
              </w:rPr>
            </w:pPr>
          </w:p>
        </w:tc>
        <w:tc>
          <w:tcPr>
            <w:tcW w:w="6194" w:type="dxa"/>
            <w:gridSpan w:val="3"/>
            <w:tcBorders>
              <w:left w:val="nil"/>
            </w:tcBorders>
          </w:tcPr>
          <w:p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rsidR="00337889" w:rsidRDefault="00337889" w:rsidP="00337889">
            <w:pPr>
              <w:pStyle w:val="Header"/>
              <w:jc w:val="center"/>
              <w:rPr>
                <w:rFonts w:ascii="Times New Roman" w:hAnsi="Times New Roman"/>
              </w:rPr>
            </w:pPr>
          </w:p>
        </w:tc>
        <w:tc>
          <w:tcPr>
            <w:tcW w:w="715" w:type="dxa"/>
            <w:gridSpan w:val="3"/>
          </w:tcPr>
          <w:p w:rsidR="00337889" w:rsidRDefault="00337889" w:rsidP="00F95EE1">
            <w:pPr>
              <w:pStyle w:val="Header"/>
              <w:rPr>
                <w:rFonts w:ascii="Times New Roman" w:hAnsi="Times New Roman"/>
              </w:rPr>
            </w:pPr>
          </w:p>
        </w:tc>
        <w:tc>
          <w:tcPr>
            <w:tcW w:w="498" w:type="dxa"/>
          </w:tcPr>
          <w:p w:rsidR="00337889" w:rsidRDefault="00337889" w:rsidP="00F95EE1">
            <w:pPr>
              <w:pStyle w:val="Header"/>
              <w:rPr>
                <w:rFonts w:ascii="Times New Roman" w:hAnsi="Times New Roman"/>
              </w:rPr>
            </w:pPr>
          </w:p>
        </w:tc>
        <w:tc>
          <w:tcPr>
            <w:tcW w:w="1250" w:type="dxa"/>
            <w:gridSpan w:val="3"/>
          </w:tcPr>
          <w:p w:rsidR="00337889" w:rsidRDefault="00337889" w:rsidP="00F95EE1">
            <w:pPr>
              <w:pStyle w:val="Header"/>
              <w:rPr>
                <w:rFonts w:ascii="Times New Roman" w:hAnsi="Times New Roman"/>
              </w:rPr>
            </w:pPr>
          </w:p>
        </w:tc>
      </w:tr>
      <w:tr w:rsidR="00337889" w:rsidRPr="000E1CD7" w:rsidTr="00337889">
        <w:trPr>
          <w:gridBefore w:val="1"/>
          <w:wBefore w:w="23" w:type="dxa"/>
          <w:cantSplit/>
        </w:trPr>
        <w:tc>
          <w:tcPr>
            <w:tcW w:w="162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jc w:val="center"/>
              <w:rPr>
                <w:rFonts w:ascii="Times New Roman" w:hAnsi="Times New Roman"/>
              </w:rPr>
            </w:pPr>
            <w:r w:rsidRPr="000E1CD7">
              <w:rPr>
                <w:rFonts w:ascii="Times New Roman" w:hAnsi="Times New Roman"/>
              </w:rPr>
              <w:t xml:space="preserve">§ </w:t>
            </w:r>
            <w:r w:rsidR="00271398">
              <w:rPr>
                <w:rFonts w:ascii="Times New Roman" w:hAnsi="Times New Roman"/>
              </w:rPr>
              <w:t xml:space="preserve">124E.03, </w:t>
            </w:r>
            <w:proofErr w:type="spellStart"/>
            <w:r w:rsidR="00271398">
              <w:rPr>
                <w:rFonts w:ascii="Times New Roman" w:hAnsi="Times New Roman"/>
              </w:rPr>
              <w:t>dubd</w:t>
            </w:r>
            <w:proofErr w:type="spellEnd"/>
            <w:r w:rsidR="00271398">
              <w:rPr>
                <w:rFonts w:ascii="Times New Roman" w:hAnsi="Times New Roman"/>
              </w:rPr>
              <w:t xml:space="preserve">. 5, </w:t>
            </w:r>
            <w:r w:rsidRPr="000E1CD7">
              <w:rPr>
                <w:rFonts w:ascii="Times New Roman" w:hAnsi="Times New Roman"/>
              </w:rPr>
              <w:t>13D.01</w:t>
            </w:r>
          </w:p>
        </w:tc>
        <w:tc>
          <w:tcPr>
            <w:tcW w:w="466" w:type="dxa"/>
            <w:gridSpan w:val="2"/>
            <w:tcBorders>
              <w:top w:val="single" w:sz="4" w:space="0" w:color="auto"/>
              <w:left w:val="single" w:sz="4" w:space="0" w:color="auto"/>
              <w:bottom w:val="single" w:sz="4" w:space="0" w:color="auto"/>
              <w:right w:val="nil"/>
            </w:tcBorders>
          </w:tcPr>
          <w:p w:rsidR="00337889" w:rsidRPr="000E1CD7" w:rsidRDefault="00337889" w:rsidP="001B41A2">
            <w:pPr>
              <w:pStyle w:val="Header"/>
              <w:rPr>
                <w:rFonts w:ascii="Times New Roman" w:hAnsi="Times New Roman"/>
              </w:rPr>
            </w:pPr>
            <w:r w:rsidRPr="000E1CD7">
              <w:rPr>
                <w:rFonts w:ascii="Times New Roman" w:hAnsi="Times New Roman"/>
              </w:rPr>
              <w:t>A.</w:t>
            </w:r>
          </w:p>
        </w:tc>
        <w:tc>
          <w:tcPr>
            <w:tcW w:w="6194" w:type="dxa"/>
            <w:gridSpan w:val="3"/>
            <w:tcBorders>
              <w:top w:val="single" w:sz="4" w:space="0" w:color="auto"/>
              <w:left w:val="nil"/>
              <w:bottom w:val="single" w:sz="4" w:space="0" w:color="auto"/>
              <w:right w:val="single" w:sz="4" w:space="0" w:color="auto"/>
            </w:tcBorders>
          </w:tcPr>
          <w:p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rsidR="00337889" w:rsidRPr="00337889" w:rsidRDefault="00337889" w:rsidP="00337889">
            <w:pPr>
              <w:pStyle w:val="Header"/>
              <w:rPr>
                <w:rFonts w:ascii="Times New Roman" w:hAnsi="Times New Roman"/>
              </w:rPr>
            </w:pPr>
          </w:p>
        </w:tc>
        <w:tc>
          <w:tcPr>
            <w:tcW w:w="715"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498"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125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r>
      <w:tr w:rsidR="00337889" w:rsidRPr="000E1CD7" w:rsidTr="00337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cantSplit/>
          <w:trHeight w:val="174"/>
        </w:trPr>
        <w:tc>
          <w:tcPr>
            <w:tcW w:w="144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jc w:val="center"/>
              <w:rPr>
                <w:rFonts w:ascii="Times New Roman" w:hAnsi="Times New Roman"/>
              </w:rPr>
            </w:pPr>
          </w:p>
        </w:tc>
        <w:tc>
          <w:tcPr>
            <w:tcW w:w="258" w:type="dxa"/>
            <w:gridSpan w:val="2"/>
            <w:tcBorders>
              <w:top w:val="single" w:sz="4" w:space="0" w:color="auto"/>
              <w:left w:val="single" w:sz="4" w:space="0" w:color="auto"/>
              <w:bottom w:val="single" w:sz="4" w:space="0" w:color="auto"/>
            </w:tcBorders>
          </w:tcPr>
          <w:p w:rsidR="00337889" w:rsidRPr="000E1CD7" w:rsidRDefault="00337889" w:rsidP="001B41A2">
            <w:pPr>
              <w:pStyle w:val="Header"/>
              <w:rPr>
                <w:rFonts w:ascii="Times New Roman" w:hAnsi="Times New Roman"/>
              </w:rPr>
            </w:pPr>
          </w:p>
        </w:tc>
        <w:tc>
          <w:tcPr>
            <w:tcW w:w="552" w:type="dxa"/>
            <w:gridSpan w:val="2"/>
            <w:tcBorders>
              <w:top w:val="single" w:sz="4" w:space="0" w:color="auto"/>
              <w:bottom w:val="single" w:sz="4" w:space="0" w:color="auto"/>
            </w:tcBorders>
          </w:tcPr>
          <w:p w:rsidR="00337889" w:rsidRPr="000E1CD7" w:rsidRDefault="00337889" w:rsidP="001B41A2">
            <w:pPr>
              <w:pStyle w:val="Header"/>
              <w:rPr>
                <w:rFonts w:ascii="Times New Roman" w:hAnsi="Times New Roman"/>
              </w:rPr>
            </w:pPr>
            <w:r w:rsidRPr="000E1CD7">
              <w:rPr>
                <w:rFonts w:ascii="Times New Roman" w:hAnsi="Times New Roman"/>
              </w:rPr>
              <w:t>1.</w:t>
            </w:r>
          </w:p>
        </w:tc>
        <w:tc>
          <w:tcPr>
            <w:tcW w:w="6120" w:type="dxa"/>
            <w:gridSpan w:val="3"/>
            <w:tcBorders>
              <w:top w:val="single" w:sz="4" w:space="0" w:color="auto"/>
              <w:bottom w:val="single" w:sz="4" w:space="0" w:color="auto"/>
              <w:right w:val="single" w:sz="4" w:space="0" w:color="auto"/>
            </w:tcBorders>
          </w:tcPr>
          <w:p w:rsidR="00337889" w:rsidRPr="000E1CD7" w:rsidRDefault="00337889" w:rsidP="001B41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337889" w:rsidRPr="000E1CD7" w:rsidRDefault="00337889" w:rsidP="001B41A2">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1182"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r>
      <w:tr w:rsidR="00337889" w:rsidRPr="000E1CD7" w:rsidTr="00337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cantSplit/>
          <w:trHeight w:val="174"/>
        </w:trPr>
        <w:tc>
          <w:tcPr>
            <w:tcW w:w="144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jc w:val="center"/>
              <w:rPr>
                <w:rFonts w:ascii="Times New Roman" w:hAnsi="Times New Roman"/>
              </w:rPr>
            </w:pPr>
          </w:p>
        </w:tc>
        <w:tc>
          <w:tcPr>
            <w:tcW w:w="258" w:type="dxa"/>
            <w:gridSpan w:val="2"/>
            <w:tcBorders>
              <w:top w:val="single" w:sz="4" w:space="0" w:color="auto"/>
              <w:left w:val="single" w:sz="4" w:space="0" w:color="auto"/>
              <w:bottom w:val="single" w:sz="4" w:space="0" w:color="auto"/>
            </w:tcBorders>
          </w:tcPr>
          <w:p w:rsidR="00337889" w:rsidRPr="000E1CD7" w:rsidRDefault="00337889" w:rsidP="001B41A2">
            <w:pPr>
              <w:pStyle w:val="Header"/>
              <w:rPr>
                <w:rFonts w:ascii="Times New Roman" w:hAnsi="Times New Roman"/>
              </w:rPr>
            </w:pPr>
          </w:p>
        </w:tc>
        <w:tc>
          <w:tcPr>
            <w:tcW w:w="552" w:type="dxa"/>
            <w:gridSpan w:val="2"/>
            <w:tcBorders>
              <w:top w:val="single" w:sz="4" w:space="0" w:color="auto"/>
              <w:bottom w:val="single" w:sz="4" w:space="0" w:color="auto"/>
            </w:tcBorders>
          </w:tcPr>
          <w:p w:rsidR="00337889" w:rsidRPr="000E1CD7" w:rsidRDefault="00337889" w:rsidP="001B41A2">
            <w:pPr>
              <w:pStyle w:val="Header"/>
              <w:rPr>
                <w:rFonts w:ascii="Times New Roman" w:hAnsi="Times New Roman"/>
              </w:rPr>
            </w:pPr>
            <w:r w:rsidRPr="000E1CD7">
              <w:rPr>
                <w:rFonts w:ascii="Times New Roman" w:hAnsi="Times New Roman"/>
              </w:rPr>
              <w:t>2.</w:t>
            </w:r>
          </w:p>
        </w:tc>
        <w:tc>
          <w:tcPr>
            <w:tcW w:w="6120" w:type="dxa"/>
            <w:gridSpan w:val="3"/>
            <w:tcBorders>
              <w:top w:val="single" w:sz="4" w:space="0" w:color="auto"/>
              <w:bottom w:val="single" w:sz="4" w:space="0" w:color="auto"/>
              <w:right w:val="single" w:sz="4" w:space="0" w:color="auto"/>
            </w:tcBorders>
          </w:tcPr>
          <w:p w:rsidR="00337889" w:rsidRPr="000E1CD7" w:rsidRDefault="00337889" w:rsidP="001B41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337889" w:rsidRPr="000E1CD7" w:rsidRDefault="00337889" w:rsidP="001B41A2">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1182"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r>
      <w:tr w:rsidR="00337889" w:rsidRPr="000E1CD7" w:rsidTr="003378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cantSplit/>
          <w:trHeight w:val="174"/>
        </w:trPr>
        <w:tc>
          <w:tcPr>
            <w:tcW w:w="1440" w:type="dxa"/>
            <w:gridSpan w:val="2"/>
            <w:tcBorders>
              <w:top w:val="single" w:sz="4" w:space="0" w:color="auto"/>
              <w:left w:val="single" w:sz="4" w:space="0" w:color="auto"/>
              <w:bottom w:val="single" w:sz="4" w:space="0" w:color="auto"/>
              <w:right w:val="single" w:sz="4" w:space="0" w:color="auto"/>
            </w:tcBorders>
          </w:tcPr>
          <w:p w:rsidR="00337889" w:rsidRPr="000E1CD7" w:rsidRDefault="00337889" w:rsidP="001B41A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 xml:space="preserve">, </w:t>
            </w:r>
            <w:proofErr w:type="spellStart"/>
            <w:r w:rsidRPr="000E1CD7">
              <w:rPr>
                <w:sz w:val="20"/>
                <w:szCs w:val="20"/>
              </w:rPr>
              <w:t>subd</w:t>
            </w:r>
            <w:proofErr w:type="spellEnd"/>
            <w:r w:rsidRPr="000E1CD7">
              <w:rPr>
                <w:sz w:val="20"/>
                <w:szCs w:val="20"/>
              </w:rPr>
              <w:t>. 1</w:t>
            </w:r>
            <w:r>
              <w:rPr>
                <w:sz w:val="20"/>
                <w:szCs w:val="20"/>
              </w:rPr>
              <w:t>(</w:t>
            </w:r>
            <w:r w:rsidRPr="000E1CD7">
              <w:rPr>
                <w:sz w:val="20"/>
                <w:szCs w:val="20"/>
              </w:rPr>
              <w:t>d</w:t>
            </w:r>
            <w:r>
              <w:rPr>
                <w:sz w:val="20"/>
                <w:szCs w:val="20"/>
              </w:rPr>
              <w:t>)</w:t>
            </w:r>
            <w:r w:rsidRPr="000E1CD7">
              <w:rPr>
                <w:sz w:val="20"/>
                <w:szCs w:val="20"/>
              </w:rPr>
              <w:t>, 13D.03</w:t>
            </w:r>
          </w:p>
        </w:tc>
        <w:tc>
          <w:tcPr>
            <w:tcW w:w="258" w:type="dxa"/>
            <w:gridSpan w:val="2"/>
            <w:tcBorders>
              <w:top w:val="single" w:sz="4" w:space="0" w:color="auto"/>
              <w:left w:val="single" w:sz="4" w:space="0" w:color="auto"/>
              <w:bottom w:val="single" w:sz="4" w:space="0" w:color="auto"/>
            </w:tcBorders>
          </w:tcPr>
          <w:p w:rsidR="00337889" w:rsidRPr="000E1CD7" w:rsidRDefault="00337889" w:rsidP="001B41A2">
            <w:pPr>
              <w:pStyle w:val="Header"/>
              <w:rPr>
                <w:rFonts w:ascii="Times New Roman" w:hAnsi="Times New Roman"/>
              </w:rPr>
            </w:pPr>
          </w:p>
        </w:tc>
        <w:tc>
          <w:tcPr>
            <w:tcW w:w="552" w:type="dxa"/>
            <w:gridSpan w:val="2"/>
            <w:tcBorders>
              <w:top w:val="single" w:sz="4" w:space="0" w:color="auto"/>
              <w:bottom w:val="single" w:sz="4" w:space="0" w:color="auto"/>
            </w:tcBorders>
          </w:tcPr>
          <w:p w:rsidR="00337889" w:rsidRPr="000E1CD7" w:rsidRDefault="00337889" w:rsidP="001B41A2">
            <w:pPr>
              <w:pStyle w:val="Header"/>
              <w:rPr>
                <w:rFonts w:ascii="Times New Roman" w:hAnsi="Times New Roman"/>
              </w:rPr>
            </w:pPr>
            <w:r w:rsidRPr="000E1CD7">
              <w:rPr>
                <w:rFonts w:ascii="Times New Roman" w:hAnsi="Times New Roman"/>
              </w:rPr>
              <w:t>3.</w:t>
            </w:r>
          </w:p>
        </w:tc>
        <w:tc>
          <w:tcPr>
            <w:tcW w:w="6120" w:type="dxa"/>
            <w:gridSpan w:val="3"/>
            <w:tcBorders>
              <w:top w:val="single" w:sz="4" w:space="0" w:color="auto"/>
              <w:bottom w:val="single" w:sz="4" w:space="0" w:color="auto"/>
              <w:right w:val="single" w:sz="4" w:space="0" w:color="auto"/>
            </w:tcBorders>
          </w:tcPr>
          <w:p w:rsidR="00337889" w:rsidRPr="000E1CD7" w:rsidRDefault="00337889" w:rsidP="001B41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37889" w:rsidRPr="000E1CD7" w:rsidRDefault="00337889" w:rsidP="001B41A2">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540" w:type="dxa"/>
            <w:gridSpan w:val="3"/>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c>
          <w:tcPr>
            <w:tcW w:w="1182" w:type="dxa"/>
            <w:tcBorders>
              <w:top w:val="single" w:sz="4" w:space="0" w:color="auto"/>
              <w:left w:val="single" w:sz="4" w:space="0" w:color="auto"/>
              <w:bottom w:val="single" w:sz="4" w:space="0" w:color="auto"/>
              <w:right w:val="single" w:sz="4" w:space="0" w:color="auto"/>
            </w:tcBorders>
          </w:tcPr>
          <w:p w:rsidR="00337889" w:rsidRPr="000E1CD7" w:rsidRDefault="00337889" w:rsidP="001B41A2">
            <w:pPr>
              <w:pStyle w:val="Header"/>
              <w:rPr>
                <w:rFonts w:ascii="Times New Roman" w:hAnsi="Times New Roman"/>
              </w:rPr>
            </w:pPr>
          </w:p>
        </w:tc>
      </w:tr>
    </w:tbl>
    <w:p w:rsidR="003C7770" w:rsidRDefault="003C7770"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3C7770" w:rsidTr="00F95EE1">
        <w:trPr>
          <w:cantSplit/>
        </w:trPr>
        <w:tc>
          <w:tcPr>
            <w:tcW w:w="10743" w:type="dxa"/>
          </w:tcPr>
          <w:p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rsidR="003C7770" w:rsidRDefault="003C7770" w:rsidP="00F95EE1">
            <w:pPr>
              <w:pStyle w:val="Header"/>
              <w:rPr>
                <w:rFonts w:ascii="Times New Roman" w:hAnsi="Times New Roman"/>
              </w:rPr>
            </w:pPr>
          </w:p>
        </w:tc>
      </w:tr>
      <w:tr w:rsidR="003C7770" w:rsidTr="00F95EE1">
        <w:trPr>
          <w:cantSplit/>
        </w:trPr>
        <w:tc>
          <w:tcPr>
            <w:tcW w:w="10743" w:type="dxa"/>
          </w:tcPr>
          <w:p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rsidR="003C7770" w:rsidRDefault="003C7770" w:rsidP="00F95EE1">
            <w:pPr>
              <w:pStyle w:val="Header"/>
              <w:rPr>
                <w:rFonts w:ascii="Times New Roman" w:hAnsi="Times New Roman"/>
              </w:rPr>
            </w:pPr>
          </w:p>
          <w:p w:rsidR="003C7770" w:rsidRDefault="003C7770" w:rsidP="00F95EE1">
            <w:pPr>
              <w:pStyle w:val="Header"/>
              <w:rPr>
                <w:rFonts w:ascii="Times New Roman" w:hAnsi="Times New Roman"/>
              </w:rPr>
            </w:pPr>
            <w:r>
              <w:rPr>
                <w:rFonts w:ascii="Times New Roman" w:hAnsi="Times New Roman"/>
              </w:rPr>
              <w:t>Conclusion:</w:t>
            </w: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r w:rsidR="003C7770" w:rsidTr="00F95EE1">
        <w:trPr>
          <w:cantSplit/>
        </w:trPr>
        <w:tc>
          <w:tcPr>
            <w:tcW w:w="10743" w:type="dxa"/>
          </w:tcPr>
          <w:p w:rsidR="003C7770" w:rsidRDefault="003C7770" w:rsidP="00F95EE1">
            <w:pPr>
              <w:pStyle w:val="Header"/>
              <w:jc w:val="right"/>
              <w:rPr>
                <w:rFonts w:ascii="Times New Roman" w:hAnsi="Times New Roman"/>
              </w:rPr>
            </w:pPr>
          </w:p>
        </w:tc>
      </w:tr>
    </w:tbl>
    <w:p w:rsidR="003C7770" w:rsidRDefault="003C7770" w:rsidP="003C7770">
      <w:pPr>
        <w:pStyle w:val="Header"/>
      </w:pPr>
    </w:p>
    <w:p w:rsidR="00DC0665" w:rsidRDefault="00DC0665" w:rsidP="008769C6">
      <w:pPr>
        <w:pStyle w:val="Header"/>
        <w:tabs>
          <w:tab w:val="clear" w:pos="4320"/>
          <w:tab w:val="center" w:pos="5040"/>
        </w:tabs>
        <w:jc w:val="both"/>
        <w:rPr>
          <w:rFonts w:ascii="Times New Roman" w:hAnsi="Times New Roman"/>
        </w:rPr>
        <w:sectPr w:rsidR="00DC0665">
          <w:headerReference w:type="default" r:id="rId7"/>
          <w:footerReference w:type="default" r:id="rId8"/>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rsidTr="00DC0665">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b/>
                <w:bCs/>
                <w:sz w:val="16"/>
                <w:szCs w:val="16"/>
              </w:rPr>
            </w:pPr>
          </w:p>
        </w:tc>
        <w:tc>
          <w:tcPr>
            <w:tcW w:w="276" w:type="dxa"/>
            <w:tcBorders>
              <w:top w:val="nil"/>
              <w:left w:val="nil"/>
              <w:bottom w:val="nil"/>
              <w:right w:val="nil"/>
            </w:tcBorders>
          </w:tcPr>
          <w:p w:rsidR="00DC0665" w:rsidRPr="00DC0665" w:rsidRDefault="00DC0665" w:rsidP="00DC01A7">
            <w:pPr>
              <w:rPr>
                <w:b/>
                <w:bCs/>
                <w:sz w:val="16"/>
                <w:szCs w:val="16"/>
              </w:rPr>
            </w:pPr>
          </w:p>
        </w:tc>
        <w:tc>
          <w:tcPr>
            <w:tcW w:w="365" w:type="dxa"/>
            <w:tcBorders>
              <w:top w:val="nil"/>
              <w:left w:val="nil"/>
              <w:bottom w:val="nil"/>
              <w:right w:val="nil"/>
            </w:tcBorders>
          </w:tcPr>
          <w:p w:rsidR="00DC0665" w:rsidRPr="00DC0665" w:rsidRDefault="00DC0665" w:rsidP="00DC01A7">
            <w:pPr>
              <w:rPr>
                <w:b/>
                <w:bCs/>
                <w:sz w:val="16"/>
                <w:szCs w:val="16"/>
              </w:rPr>
            </w:pPr>
          </w:p>
        </w:tc>
        <w:tc>
          <w:tcPr>
            <w:tcW w:w="1159"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260" w:type="dxa"/>
            <w:tcBorders>
              <w:top w:val="nil"/>
              <w:left w:val="nil"/>
              <w:bottom w:val="nil"/>
              <w:right w:val="nil"/>
            </w:tcBorders>
          </w:tcPr>
          <w:p w:rsidR="00DC0665" w:rsidRPr="00DC0665" w:rsidRDefault="00DC0665" w:rsidP="00DC01A7">
            <w:pPr>
              <w:rPr>
                <w:b/>
                <w:bCs/>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2160" w:type="dxa"/>
            <w:gridSpan w:val="2"/>
            <w:vMerge/>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c>
          <w:tcPr>
            <w:tcW w:w="4068" w:type="dxa"/>
            <w:tcBorders>
              <w:top w:val="nil"/>
              <w:left w:val="nil"/>
              <w:bottom w:val="single" w:sz="4" w:space="0" w:color="auto"/>
              <w:right w:val="nil"/>
            </w:tcBorders>
          </w:tcPr>
          <w:p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 - f</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Collateral Needed (110% of Deposits Requiring</w:t>
            </w:r>
          </w:p>
          <w:p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bl>
    <w:p w:rsidR="008769C6" w:rsidRPr="003C7770" w:rsidRDefault="008769C6" w:rsidP="008769C6">
      <w:pPr>
        <w:pStyle w:val="Header"/>
        <w:tabs>
          <w:tab w:val="clear" w:pos="4320"/>
          <w:tab w:val="center" w:pos="5040"/>
        </w:tabs>
        <w:jc w:val="both"/>
        <w:rPr>
          <w:rFonts w:ascii="Times New Roman" w:hAnsi="Times New Roman"/>
        </w:rPr>
      </w:pPr>
    </w:p>
    <w:sectPr w:rsidR="008769C6" w:rsidRPr="003C7770" w:rsidSect="00DC0665">
      <w:footerReference w:type="first" r:id="rId9"/>
      <w:pgSz w:w="15840" w:h="12240" w:orient="landscape" w:code="1"/>
      <w:pgMar w:top="720" w:right="720" w:bottom="720" w:left="720" w:header="720" w:footer="720" w:gutter="0"/>
      <w:pgNumType w:start="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E0" w:rsidRDefault="004B2BE0">
      <w:r>
        <w:separator/>
      </w:r>
    </w:p>
  </w:endnote>
  <w:endnote w:type="continuationSeparator" w:id="0">
    <w:p w:rsidR="004B2BE0" w:rsidRDefault="004B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E0" w:rsidRPr="003C7770" w:rsidRDefault="004B2BE0" w:rsidP="00DC0665">
    <w:pPr>
      <w:pStyle w:val="Footer"/>
      <w:tabs>
        <w:tab w:val="clear" w:pos="4320"/>
        <w:tab w:val="center" w:pos="4680"/>
      </w:tabs>
      <w:rPr>
        <w:rFonts w:ascii="Times New Roman" w:hAnsi="Times New Roman"/>
      </w:rPr>
    </w:pPr>
    <w:r>
      <w:rPr>
        <w:rFonts w:ascii="Times New Roman" w:hAnsi="Times New Roman"/>
      </w:rPr>
      <w:t>12/2015</w:t>
    </w:r>
    <w:r w:rsidR="006116E8">
      <w:rPr>
        <w:rFonts w:ascii="Times New Roman" w:hAnsi="Times New Roman"/>
      </w:rPr>
      <w:t xml:space="preserve">     Charter Schools</w:t>
    </w:r>
    <w:r>
      <w:rPr>
        <w:rFonts w:ascii="Times New Roman" w:hAnsi="Times New Roman"/>
      </w:rPr>
      <w:tab/>
      <w:t>1</w:t>
    </w:r>
    <w:r w:rsidRPr="003C7770">
      <w:rPr>
        <w:rFonts w:ascii="Times New Roman" w:hAnsi="Times New Roma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E0" w:rsidRPr="003C7770" w:rsidRDefault="004B2BE0">
    <w:pPr>
      <w:tabs>
        <w:tab w:val="left" w:pos="5400"/>
      </w:tabs>
      <w:rPr>
        <w:sz w:val="20"/>
        <w:szCs w:val="20"/>
      </w:rPr>
    </w:pPr>
    <w:r>
      <w:rPr>
        <w:sz w:val="20"/>
        <w:szCs w:val="20"/>
      </w:rPr>
      <w:t>1</w:t>
    </w:r>
    <w:r w:rsidR="006116E8">
      <w:rPr>
        <w:sz w:val="20"/>
        <w:szCs w:val="20"/>
      </w:rPr>
      <w:t>2/2015     Charter Schools</w:t>
    </w:r>
    <w:r>
      <w:rPr>
        <w:sz w:val="20"/>
        <w:szCs w:val="20"/>
      </w:rPr>
      <w:tab/>
      <w:t>1</w:t>
    </w:r>
    <w:r w:rsidRPr="003C7770">
      <w:rPr>
        <w:sz w:val="20"/>
        <w:szCs w:val="20"/>
      </w:rPr>
      <w:t>-</w:t>
    </w:r>
    <w:r w:rsidRPr="003C7770">
      <w:rPr>
        <w:rStyle w:val="PageNumber"/>
        <w:sz w:val="20"/>
        <w:szCs w:val="20"/>
      </w:rPr>
      <w:fldChar w:fldCharType="begin"/>
    </w:r>
    <w:r w:rsidRPr="003C7770">
      <w:rPr>
        <w:rStyle w:val="PageNumber"/>
        <w:sz w:val="20"/>
        <w:szCs w:val="20"/>
      </w:rPr>
      <w:instrText xml:space="preserve"> PAGE </w:instrText>
    </w:r>
    <w:r w:rsidRPr="003C7770">
      <w:rPr>
        <w:rStyle w:val="PageNumber"/>
        <w:sz w:val="20"/>
        <w:szCs w:val="20"/>
      </w:rPr>
      <w:fldChar w:fldCharType="separate"/>
    </w:r>
    <w:r w:rsidR="00A705C5">
      <w:rPr>
        <w:rStyle w:val="PageNumber"/>
        <w:noProof/>
        <w:sz w:val="20"/>
        <w:szCs w:val="20"/>
      </w:rPr>
      <w:t>12</w:t>
    </w:r>
    <w:r w:rsidRPr="003C777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E0" w:rsidRPr="00DC0665" w:rsidRDefault="004B2BE0" w:rsidP="00DC0665">
    <w:pPr>
      <w:pStyle w:val="Footer"/>
      <w:tabs>
        <w:tab w:val="clear" w:pos="4320"/>
        <w:tab w:val="clear" w:pos="8640"/>
        <w:tab w:val="left" w:pos="7200"/>
      </w:tabs>
      <w:rPr>
        <w:rFonts w:ascii="Times New Roman" w:hAnsi="Times New Roman"/>
      </w:rPr>
    </w:pPr>
    <w:r>
      <w:rPr>
        <w:rFonts w:ascii="Times New Roman" w:hAnsi="Times New Roman"/>
      </w:rPr>
      <w:t>1</w:t>
    </w:r>
    <w:r w:rsidR="006116E8">
      <w:rPr>
        <w:rFonts w:ascii="Times New Roman" w:hAnsi="Times New Roman"/>
      </w:rPr>
      <w:t>0/2015     Charter Schools</w:t>
    </w:r>
    <w:r>
      <w:rPr>
        <w:rFonts w:ascii="Times New Roman" w:hAnsi="Times New Roman"/>
      </w:rPr>
      <w:tab/>
      <w:t>1</w:t>
    </w:r>
    <w:r w:rsidRPr="00DC0665">
      <w:rPr>
        <w:rFonts w:ascii="Times New Roman" w:hAnsi="Times New Roman"/>
      </w:rPr>
      <w:t>-</w:t>
    </w:r>
    <w:r w:rsidRPr="00DC0665">
      <w:rPr>
        <w:rStyle w:val="PageNumber"/>
        <w:rFonts w:ascii="Times New Roman" w:hAnsi="Times New Roman"/>
      </w:rPr>
      <w:fldChar w:fldCharType="begin"/>
    </w:r>
    <w:r w:rsidRPr="00DC0665">
      <w:rPr>
        <w:rStyle w:val="PageNumber"/>
        <w:rFonts w:ascii="Times New Roman" w:hAnsi="Times New Roman"/>
      </w:rPr>
      <w:instrText xml:space="preserve"> PAGE </w:instrText>
    </w:r>
    <w:r w:rsidRPr="00DC0665">
      <w:rPr>
        <w:rStyle w:val="PageNumber"/>
        <w:rFonts w:ascii="Times New Roman" w:hAnsi="Times New Roman"/>
      </w:rPr>
      <w:fldChar w:fldCharType="separate"/>
    </w:r>
    <w:r w:rsidR="00A705C5">
      <w:rPr>
        <w:rStyle w:val="PageNumber"/>
        <w:rFonts w:ascii="Times New Roman" w:hAnsi="Times New Roman"/>
        <w:noProof/>
      </w:rPr>
      <w:t>13</w:t>
    </w:r>
    <w:r w:rsidRPr="00DC0665">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E0" w:rsidRDefault="004B2BE0">
      <w:r>
        <w:separator/>
      </w:r>
    </w:p>
  </w:footnote>
  <w:footnote w:type="continuationSeparator" w:id="0">
    <w:p w:rsidR="004B2BE0" w:rsidRDefault="004B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4B2BE0">
      <w:trPr>
        <w:cantSplit/>
      </w:trPr>
      <w:tc>
        <w:tcPr>
          <w:tcW w:w="1620" w:type="dxa"/>
        </w:tcPr>
        <w:p w:rsidR="004B2BE0" w:rsidRDefault="004B2BE0">
          <w:pPr>
            <w:pStyle w:val="Header"/>
            <w:jc w:val="center"/>
            <w:rPr>
              <w:rFonts w:ascii="Times New Roman" w:hAnsi="Times New Roman"/>
            </w:rPr>
          </w:pPr>
          <w:r>
            <w:rPr>
              <w:rFonts w:ascii="Times New Roman" w:hAnsi="Times New Roman"/>
            </w:rPr>
            <w:t>Minn. Stat.</w:t>
          </w:r>
        </w:p>
        <w:p w:rsidR="004B2BE0" w:rsidRDefault="004B2BE0">
          <w:pPr>
            <w:pStyle w:val="Header"/>
            <w:jc w:val="center"/>
            <w:rPr>
              <w:rFonts w:ascii="Times New Roman" w:hAnsi="Times New Roman"/>
            </w:rPr>
          </w:pPr>
          <w:r>
            <w:rPr>
              <w:rFonts w:ascii="Times New Roman" w:hAnsi="Times New Roman"/>
            </w:rPr>
            <w:t>Section</w:t>
          </w:r>
        </w:p>
      </w:tc>
      <w:tc>
        <w:tcPr>
          <w:tcW w:w="6660" w:type="dxa"/>
        </w:tcPr>
        <w:p w:rsidR="004B2BE0" w:rsidRDefault="004B2BE0">
          <w:pPr>
            <w:pStyle w:val="Header"/>
            <w:jc w:val="center"/>
            <w:rPr>
              <w:rFonts w:ascii="Times New Roman" w:hAnsi="Times New Roman"/>
              <w:b/>
              <w:bCs/>
            </w:rPr>
          </w:pPr>
          <w:r>
            <w:rPr>
              <w:rFonts w:ascii="Times New Roman" w:hAnsi="Times New Roman"/>
              <w:b/>
              <w:bCs/>
            </w:rPr>
            <w:t>CHARTER SCHOOLS</w:t>
          </w:r>
        </w:p>
        <w:p w:rsidR="004B2BE0" w:rsidRDefault="004B2BE0">
          <w:pPr>
            <w:pStyle w:val="Header"/>
            <w:jc w:val="center"/>
            <w:rPr>
              <w:rFonts w:ascii="Times New Roman" w:hAnsi="Times New Roman"/>
              <w:b/>
              <w:bCs/>
            </w:rPr>
          </w:pPr>
        </w:p>
      </w:tc>
      <w:tc>
        <w:tcPr>
          <w:tcW w:w="715" w:type="dxa"/>
        </w:tcPr>
        <w:p w:rsidR="004B2BE0" w:rsidRDefault="004B2BE0">
          <w:pPr>
            <w:pStyle w:val="Header"/>
            <w:jc w:val="center"/>
            <w:rPr>
              <w:rFonts w:ascii="Times New Roman" w:hAnsi="Times New Roman"/>
            </w:rPr>
          </w:pPr>
        </w:p>
        <w:p w:rsidR="004B2BE0" w:rsidRDefault="004B2BE0">
          <w:pPr>
            <w:pStyle w:val="Header"/>
            <w:jc w:val="center"/>
            <w:rPr>
              <w:rFonts w:ascii="Times New Roman" w:hAnsi="Times New Roman"/>
            </w:rPr>
          </w:pPr>
          <w:r>
            <w:rPr>
              <w:rFonts w:ascii="Times New Roman" w:hAnsi="Times New Roman"/>
            </w:rPr>
            <w:t>Yes</w:t>
          </w:r>
        </w:p>
      </w:tc>
      <w:tc>
        <w:tcPr>
          <w:tcW w:w="498" w:type="dxa"/>
        </w:tcPr>
        <w:p w:rsidR="004B2BE0" w:rsidRDefault="004B2BE0">
          <w:pPr>
            <w:pStyle w:val="Header"/>
            <w:jc w:val="center"/>
            <w:rPr>
              <w:rFonts w:ascii="Times New Roman" w:hAnsi="Times New Roman"/>
            </w:rPr>
          </w:pPr>
        </w:p>
        <w:p w:rsidR="004B2BE0" w:rsidRDefault="004B2BE0">
          <w:pPr>
            <w:pStyle w:val="Header"/>
            <w:jc w:val="center"/>
            <w:rPr>
              <w:rFonts w:ascii="Times New Roman" w:hAnsi="Times New Roman"/>
            </w:rPr>
          </w:pPr>
          <w:r>
            <w:rPr>
              <w:rFonts w:ascii="Times New Roman" w:hAnsi="Times New Roman"/>
            </w:rPr>
            <w:t>No</w:t>
          </w:r>
        </w:p>
      </w:tc>
      <w:tc>
        <w:tcPr>
          <w:tcW w:w="1250" w:type="dxa"/>
        </w:tcPr>
        <w:p w:rsidR="004B2BE0" w:rsidRDefault="004B2BE0">
          <w:pPr>
            <w:pStyle w:val="Header"/>
            <w:jc w:val="center"/>
            <w:rPr>
              <w:rFonts w:ascii="Times New Roman" w:hAnsi="Times New Roman"/>
            </w:rPr>
          </w:pPr>
          <w:proofErr w:type="spellStart"/>
          <w:r>
            <w:rPr>
              <w:rFonts w:ascii="Times New Roman" w:hAnsi="Times New Roman"/>
            </w:rPr>
            <w:t>Workpaper</w:t>
          </w:r>
          <w:proofErr w:type="spellEnd"/>
        </w:p>
        <w:p w:rsidR="004B2BE0" w:rsidRDefault="004B2BE0">
          <w:pPr>
            <w:pStyle w:val="Header"/>
            <w:jc w:val="center"/>
            <w:rPr>
              <w:rFonts w:ascii="Times New Roman" w:hAnsi="Times New Roman"/>
            </w:rPr>
          </w:pPr>
          <w:r>
            <w:rPr>
              <w:rFonts w:ascii="Times New Roman" w:hAnsi="Times New Roman"/>
            </w:rPr>
            <w:t>Reference</w:t>
          </w:r>
        </w:p>
      </w:tc>
    </w:tr>
  </w:tbl>
  <w:p w:rsidR="004B2BE0" w:rsidRDefault="004B2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223444"/>
    <w:rsid w:val="002528B2"/>
    <w:rsid w:val="00271398"/>
    <w:rsid w:val="002D0EED"/>
    <w:rsid w:val="002D4EC0"/>
    <w:rsid w:val="002E1665"/>
    <w:rsid w:val="002E5D2D"/>
    <w:rsid w:val="00337889"/>
    <w:rsid w:val="003C609F"/>
    <w:rsid w:val="003C7770"/>
    <w:rsid w:val="003D0CAC"/>
    <w:rsid w:val="003D7BF2"/>
    <w:rsid w:val="003E574B"/>
    <w:rsid w:val="00401AD6"/>
    <w:rsid w:val="00413B43"/>
    <w:rsid w:val="0043477B"/>
    <w:rsid w:val="00446373"/>
    <w:rsid w:val="00473589"/>
    <w:rsid w:val="0049370F"/>
    <w:rsid w:val="004A66C7"/>
    <w:rsid w:val="004B2BE0"/>
    <w:rsid w:val="004B5791"/>
    <w:rsid w:val="00516AFB"/>
    <w:rsid w:val="00540496"/>
    <w:rsid w:val="00543D9E"/>
    <w:rsid w:val="005562ED"/>
    <w:rsid w:val="00560D0F"/>
    <w:rsid w:val="00592E2B"/>
    <w:rsid w:val="005A2455"/>
    <w:rsid w:val="005C6B16"/>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53AE4"/>
    <w:rsid w:val="008769C6"/>
    <w:rsid w:val="009070D5"/>
    <w:rsid w:val="0093410A"/>
    <w:rsid w:val="009A47CC"/>
    <w:rsid w:val="009B78F3"/>
    <w:rsid w:val="009D72AA"/>
    <w:rsid w:val="00A00020"/>
    <w:rsid w:val="00A05831"/>
    <w:rsid w:val="00A63A4C"/>
    <w:rsid w:val="00A705C5"/>
    <w:rsid w:val="00A87BF5"/>
    <w:rsid w:val="00AA0734"/>
    <w:rsid w:val="00AA1ACA"/>
    <w:rsid w:val="00AB3F3B"/>
    <w:rsid w:val="00AB499F"/>
    <w:rsid w:val="00AB54F7"/>
    <w:rsid w:val="00AB73E5"/>
    <w:rsid w:val="00AC17F3"/>
    <w:rsid w:val="00AD5F6C"/>
    <w:rsid w:val="00AD7ADF"/>
    <w:rsid w:val="00B4400F"/>
    <w:rsid w:val="00B5021A"/>
    <w:rsid w:val="00B63401"/>
    <w:rsid w:val="00C27BB2"/>
    <w:rsid w:val="00C94885"/>
    <w:rsid w:val="00CC07AF"/>
    <w:rsid w:val="00D017B2"/>
    <w:rsid w:val="00D14416"/>
    <w:rsid w:val="00D24AA0"/>
    <w:rsid w:val="00D439F2"/>
    <w:rsid w:val="00D56657"/>
    <w:rsid w:val="00D80CD3"/>
    <w:rsid w:val="00D95FEC"/>
    <w:rsid w:val="00DC01A7"/>
    <w:rsid w:val="00DC0665"/>
    <w:rsid w:val="00DE7E8C"/>
    <w:rsid w:val="00E63075"/>
    <w:rsid w:val="00E9109D"/>
    <w:rsid w:val="00EA26FE"/>
    <w:rsid w:val="00EC4CD7"/>
    <w:rsid w:val="00EF6F56"/>
    <w:rsid w:val="00F13F90"/>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15</Pages>
  <Words>4140</Words>
  <Characters>22924</Characters>
  <Application>Microsoft Office Word</Application>
  <DocSecurity>2</DocSecurity>
  <Lines>191</Lines>
  <Paragraphs>54</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Mark Kerr</cp:lastModifiedBy>
  <cp:revision>21</cp:revision>
  <cp:lastPrinted>2013-10-25T22:03:00Z</cp:lastPrinted>
  <dcterms:created xsi:type="dcterms:W3CDTF">2015-08-12T21:47:00Z</dcterms:created>
  <dcterms:modified xsi:type="dcterms:W3CDTF">2015-12-28T20:25:00Z</dcterms:modified>
</cp:coreProperties>
</file>