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115860" w:rsidRDefault="00115860">
      <w:pPr>
        <w:jc w:val="center"/>
        <w:rPr>
          <w:b/>
          <w:bCs/>
        </w:rPr>
      </w:pPr>
      <w:r>
        <w:rPr>
          <w:b/>
          <w:bCs/>
        </w:rPr>
        <w:br w:type="page"/>
      </w:r>
    </w:p>
    <w:p w:rsidR="00976763" w:rsidRDefault="00976763">
      <w:pPr>
        <w:jc w:val="center"/>
        <w:rPr>
          <w:b/>
          <w:bCs/>
        </w:rPr>
      </w:pPr>
      <w:r>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3C06F2" w:rsidRDefault="00976763">
      <w:pPr>
        <w:jc w:val="both"/>
      </w:pPr>
      <w:r>
        <w:t xml:space="preserve">The power of a </w:t>
      </w:r>
      <w:r w:rsidR="003C06F2">
        <w:t xml:space="preserve">county </w:t>
      </w:r>
      <w:r>
        <w:t xml:space="preserve">to incur indebtedness is governed by statutory provisions.  </w:t>
      </w:r>
    </w:p>
    <w:p w:rsidR="003C06F2" w:rsidRDefault="003C06F2">
      <w:pPr>
        <w:jc w:val="both"/>
      </w:pPr>
    </w:p>
    <w:p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tc>
          <w:tcPr>
            <w:tcW w:w="7440" w:type="dxa"/>
          </w:tcPr>
          <w:p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p>
        </w:tc>
        <w:tc>
          <w:tcPr>
            <w:tcW w:w="1532"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 subd.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412.301,366.095, 123B.61)</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 385.32, 384.13, </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 383A.50)</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 xml:space="preserve">75.755)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FC4B6D">
          <w:footerReference w:type="default" r:id="rId7"/>
          <w:headerReference w:type="first" r:id="rId8"/>
          <w:pgSz w:w="12240" w:h="15840" w:code="1"/>
          <w:pgMar w:top="1080" w:right="720" w:bottom="720" w:left="720" w:header="720" w:footer="720" w:gutter="0"/>
          <w:pgNumType w:start="0"/>
          <w:cols w:space="720"/>
          <w:titlePg/>
          <w:docGrid w:linePitch="326"/>
        </w:sectPr>
      </w:pPr>
    </w:p>
    <w:p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pStyle w:val="Header"/>
              <w:jc w:val="center"/>
              <w:rPr>
                <w:sz w:val="20"/>
                <w:szCs w:val="20"/>
              </w:rPr>
            </w:pPr>
            <w:r w:rsidRPr="005B69C8">
              <w:rPr>
                <w:sz w:val="20"/>
                <w:szCs w:val="20"/>
              </w:rPr>
              <w:t>§ 475</w:t>
            </w:r>
            <w:r w:rsidR="00072FCD">
              <w:rPr>
                <w:sz w:val="20"/>
                <w:szCs w:val="20"/>
              </w:rPr>
              <w:t>.51</w:t>
            </w:r>
            <w:r w:rsidR="00305185">
              <w:rPr>
                <w:sz w:val="20"/>
                <w:szCs w:val="20"/>
              </w:rPr>
              <w:t>,</w:t>
            </w:r>
          </w:p>
          <w:p w:rsidR="00F04B08" w:rsidRPr="005B69C8" w:rsidRDefault="00F04B08">
            <w:pPr>
              <w:pStyle w:val="Header"/>
              <w:jc w:val="center"/>
              <w:rPr>
                <w:sz w:val="20"/>
                <w:szCs w:val="20"/>
              </w:rPr>
            </w:pPr>
            <w:r w:rsidRPr="005B69C8">
              <w:rPr>
                <w:sz w:val="20"/>
                <w:szCs w:val="20"/>
              </w:rPr>
              <w:t>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jc w:val="center"/>
              <w:rPr>
                <w:sz w:val="20"/>
                <w:szCs w:val="20"/>
              </w:rPr>
            </w:pPr>
            <w:r w:rsidRPr="005B69C8">
              <w:rPr>
                <w:sz w:val="20"/>
                <w:szCs w:val="20"/>
              </w:rPr>
              <w:t>§ 475.58,</w:t>
            </w:r>
          </w:p>
          <w:p w:rsidR="00F04B08" w:rsidRPr="005B69C8" w:rsidRDefault="00F04B08">
            <w:pPr>
              <w:jc w:val="center"/>
              <w:rPr>
                <w:sz w:val="20"/>
                <w:szCs w:val="20"/>
              </w:rPr>
            </w:pPr>
            <w:r w:rsidRPr="005B69C8">
              <w:rPr>
                <w:sz w:val="20"/>
                <w:szCs w:val="20"/>
              </w:rPr>
              <w:t>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 subd.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 for which the notice required here is not applicable.</w:t>
            </w:r>
          </w:p>
          <w:p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Considering the issuance of the obligations, will the net debt (as defined in Minn. Stat. § 475.51,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p>
          <w:p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p>
          <w:p w:rsidR="00B80AB2" w:rsidRPr="005B69C8" w:rsidRDefault="00B80AB2" w:rsidP="00B80AB2">
            <w:pPr>
              <w:jc w:val="center"/>
              <w:rPr>
                <w:sz w:val="20"/>
                <w:szCs w:val="20"/>
              </w:rPr>
            </w:pPr>
            <w:r w:rsidRPr="005B69C8">
              <w:rPr>
                <w:sz w:val="20"/>
                <w:szCs w:val="20"/>
              </w:rPr>
              <w:t>subd. 1</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p>
          <w:p w:rsidR="00B80AB2" w:rsidRPr="005B69C8" w:rsidRDefault="00B80AB2" w:rsidP="00B80AB2">
            <w:pPr>
              <w:jc w:val="center"/>
              <w:rPr>
                <w:sz w:val="20"/>
                <w:szCs w:val="20"/>
              </w:rPr>
            </w:pPr>
            <w:r w:rsidRPr="005B69C8">
              <w:rPr>
                <w:sz w:val="20"/>
                <w:szCs w:val="20"/>
              </w:rPr>
              <w:t>subd. 4</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to pay, redeem, or defease obligations and interest, penalties, premiums, and costs of issuance of the obligations; and</w:t>
            </w:r>
          </w:p>
          <w:p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p>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refunding obligations;</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bl>
    <w:p w:rsidR="00B833E0" w:rsidRDefault="00B833E0"/>
    <w:p w:rsidR="00305185" w:rsidRDefault="00305185">
      <w:pPr>
        <w:rPr>
          <w:sz w:val="16"/>
          <w:szCs w:val="16"/>
        </w:rPr>
      </w:pPr>
      <w:r>
        <w:rPr>
          <w:sz w:val="16"/>
          <w:szCs w:val="16"/>
        </w:rPr>
        <w:br w:type="page"/>
      </w:r>
    </w:p>
    <w:p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 subd. 6;</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305185" w:rsidRDefault="00305185">
            <w:pPr>
              <w:pStyle w:val="Header"/>
              <w:jc w:val="center"/>
              <w:rPr>
                <w:sz w:val="20"/>
                <w:szCs w:val="20"/>
              </w:rPr>
            </w:pPr>
            <w:r>
              <w:rPr>
                <w:sz w:val="20"/>
                <w:szCs w:val="20"/>
              </w:rPr>
              <w:t>§ 373.40,</w:t>
            </w:r>
          </w:p>
          <w:p w:rsidR="00F04B08" w:rsidRPr="005B69C8" w:rsidRDefault="00F04B08">
            <w:pPr>
              <w:pStyle w:val="Header"/>
              <w:jc w:val="center"/>
              <w:rPr>
                <w:sz w:val="20"/>
                <w:szCs w:val="20"/>
              </w:rPr>
            </w:pPr>
            <w:r w:rsidRPr="005B69C8">
              <w:rPr>
                <w:sz w:val="20"/>
                <w:szCs w:val="20"/>
              </w:rPr>
              <w:t>subd. 2</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305185">
              <w:rPr>
                <w:rFonts w:ascii="Times New Roman" w:hAnsi="Times New Roman"/>
                <w:b w:val="0"/>
                <w:sz w:val="20"/>
              </w:rPr>
              <w:t xml:space="preserve"> </w:t>
            </w:r>
            <w:r w:rsidRPr="00305185">
              <w:rPr>
                <w:rFonts w:ascii="Times New Roman" w:hAnsi="Times New Roman"/>
                <w:b w:val="0"/>
                <w:bCs/>
                <w:sz w:val="20"/>
              </w:rPr>
              <w:t>where notice was published at least 14 but not more than 28 days before the county held a hearing for public comment on issuing the bonds under this section;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 (property tax abatement authority bonds), if the bonds are not used for a purpose prohibited under §</w:t>
            </w:r>
            <w:r w:rsidR="00305185">
              <w:rPr>
                <w:bCs/>
                <w:sz w:val="20"/>
                <w:szCs w:val="20"/>
              </w:rPr>
              <w:t xml:space="preserve"> </w:t>
            </w:r>
            <w:r w:rsidRPr="005B69C8">
              <w:rPr>
                <w:bCs/>
                <w:sz w:val="20"/>
                <w:szCs w:val="20"/>
              </w:rPr>
              <w:t xml:space="preserve">469.176, subd. 4g, para. (b); </w:t>
            </w:r>
          </w:p>
          <w:p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 xml:space="preserve">475.52,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 subd. 2b (insurance continuation); and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 subd.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F41C1F" w:rsidRDefault="00F41C1F">
      <w:pPr>
        <w:rPr>
          <w:sz w:val="16"/>
          <w:szCs w:val="16"/>
        </w:rPr>
      </w:pPr>
      <w:r>
        <w:rPr>
          <w:sz w:val="16"/>
          <w:szCs w:val="16"/>
        </w:rPr>
        <w:br w:type="page"/>
      </w:r>
    </w:p>
    <w:p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issued for solid waste management purposes?</w:t>
            </w:r>
          </w:p>
          <w:p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Examples are:</w:t>
            </w:r>
          </w:p>
          <w:p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postclosure;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p>
          <w:p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w:t>
            </w:r>
          </w:p>
          <w:p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 subd. 6; obligations issued with tender options under Minn. Stat. § 475.54, subd. 5a; crossover refunding referred to in Minn. Stat. § 475.67, subd. 13; and any issue of obligations comprised in whole or in part of obligations bearing interest at a rate or rates which vary periodically referred to in Minn. Stat. § 475.56;</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527DE" w:rsidRDefault="004527DE">
      <w:r>
        <w:br w:type="page"/>
      </w:r>
    </w:p>
    <w:p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7764BC">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7764BC" w:rsidRPr="005B69C8" w:rsidTr="007764BC">
        <w:trPr>
          <w:cantSplit/>
        </w:trPr>
        <w:tc>
          <w:tcPr>
            <w:tcW w:w="10795" w:type="dxa"/>
            <w:gridSpan w:val="12"/>
            <w:tcBorders>
              <w:top w:val="single" w:sz="4" w:space="0" w:color="auto"/>
              <w:bottom w:val="single" w:sz="4" w:space="0" w:color="auto"/>
            </w:tcBorders>
          </w:tcPr>
          <w:p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7764BC" w:rsidRDefault="007764BC">
      <w:r>
        <w:br w:type="page"/>
      </w:r>
    </w:p>
    <w:p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p>
          <w:p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p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 for the payment of principal and interest on the notes?</w:t>
            </w:r>
          </w:p>
          <w:p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p>
        </w:tc>
        <w:tc>
          <w:tcPr>
            <w:tcW w:w="451"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45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470FE5"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r>
    </w:tbl>
    <w:p w:rsidR="00B827CA" w:rsidRDefault="00B827CA"/>
    <w:p w:rsidR="00B827CA" w:rsidRDefault="00B827CA">
      <w:r>
        <w:br w:type="page"/>
      </w:r>
    </w:p>
    <w:p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p>
        </w:tc>
        <w:tc>
          <w:tcPr>
            <w:tcW w:w="451" w:type="dxa"/>
            <w:tcBorders>
              <w:top w:val="single" w:sz="4" w:space="0" w:color="auto"/>
              <w:left w:val="single" w:sz="4" w:space="0" w:color="auto"/>
              <w:bottom w:val="single" w:sz="4" w:space="0" w:color="auto"/>
            </w:tcBorders>
          </w:tcPr>
          <w:p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pPr>
              <w:pStyle w:val="Header"/>
              <w:rPr>
                <w:sz w:val="20"/>
                <w:szCs w:val="20"/>
              </w:rPr>
            </w:pPr>
          </w:p>
        </w:tc>
        <w:tc>
          <w:tcPr>
            <w:tcW w:w="455" w:type="dxa"/>
            <w:tcBorders>
              <w:top w:val="single" w:sz="4" w:space="0" w:color="auto"/>
              <w:bottom w:val="single" w:sz="4" w:space="0" w:color="auto"/>
            </w:tcBorders>
          </w:tcPr>
          <w:p w:rsidR="0090026A" w:rsidRPr="005B69C8" w:rsidRDefault="0090026A">
            <w:pPr>
              <w:pStyle w:val="Header"/>
              <w:rPr>
                <w:sz w:val="20"/>
                <w:szCs w:val="20"/>
              </w:rPr>
            </w:pPr>
          </w:p>
        </w:tc>
        <w:tc>
          <w:tcPr>
            <w:tcW w:w="366" w:type="dxa"/>
            <w:tcBorders>
              <w:top w:val="single" w:sz="4" w:space="0" w:color="auto"/>
              <w:bottom w:val="single" w:sz="4" w:space="0" w:color="auto"/>
            </w:tcBorders>
          </w:tcPr>
          <w:p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90026A">
            <w:pPr>
              <w:pStyle w:val="Header"/>
              <w:rPr>
                <w:sz w:val="20"/>
                <w:szCs w:val="20"/>
              </w:rPr>
            </w:pPr>
            <w:r>
              <w:rPr>
                <w:sz w:val="20"/>
                <w:szCs w:val="20"/>
              </w:rPr>
              <w:t>Were all warrants numbered and registered in the order of presentation?</w:t>
            </w:r>
          </w:p>
          <w:p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t</w:t>
            </w:r>
            <w:r w:rsidR="0090026A">
              <w:rPr>
                <w:sz w:val="20"/>
                <w:szCs w:val="20"/>
              </w:rPr>
              <w:t xml:space="preserve">he date of the redemption, and </w:t>
            </w:r>
          </w:p>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h</w:t>
            </w:r>
            <w:r w:rsidR="0090026A">
              <w:rPr>
                <w:sz w:val="20"/>
                <w:szCs w:val="20"/>
              </w:rPr>
              <w:t>is or her official signature?</w:t>
            </w:r>
          </w:p>
          <w:p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p>
        </w:tc>
        <w:tc>
          <w:tcPr>
            <w:tcW w:w="451" w:type="dxa"/>
            <w:tcBorders>
              <w:top w:val="single" w:sz="4" w:space="0" w:color="auto"/>
              <w:left w:val="single" w:sz="4" w:space="0" w:color="auto"/>
              <w:bottom w:val="single" w:sz="4" w:space="0" w:color="auto"/>
            </w:tcBorders>
          </w:tcPr>
          <w:p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rsidR="00030473" w:rsidRDefault="00030473" w:rsidP="002107F2">
            <w:pPr>
              <w:pStyle w:val="Header"/>
              <w:rPr>
                <w:sz w:val="20"/>
                <w:szCs w:val="20"/>
              </w:rPr>
            </w:pPr>
            <w:r w:rsidRPr="009A45BD">
              <w:rPr>
                <w:sz w:val="20"/>
                <w:szCs w:val="20"/>
              </w:rPr>
              <w:t xml:space="preserve">EMERGENCY DEBT CERTIFICATES </w:t>
            </w:r>
          </w:p>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r>
      <w:tr w:rsidR="00030473"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rsidR="00030473" w:rsidRPr="009A45BD" w:rsidRDefault="00030473" w:rsidP="009A45BD">
            <w:pPr>
              <w:pStyle w:val="Header"/>
              <w:rPr>
                <w:sz w:val="20"/>
                <w:szCs w:val="20"/>
              </w:rPr>
            </w:pPr>
          </w:p>
          <w:p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p>
          <w:p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rsidTr="00EA4796">
        <w:trPr>
          <w:cantSplit/>
        </w:trPr>
        <w:tc>
          <w:tcPr>
            <w:tcW w:w="1247" w:type="dxa"/>
            <w:tcBorders>
              <w:top w:val="single" w:sz="4" w:space="0" w:color="auto"/>
              <w:left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rsidR="00B827CA" w:rsidRPr="002E2A20" w:rsidRDefault="00B827CA" w:rsidP="00871D82">
            <w:pPr>
              <w:pStyle w:val="Header"/>
              <w:rPr>
                <w:sz w:val="20"/>
                <w:szCs w:val="20"/>
              </w:rPr>
            </w:pPr>
          </w:p>
        </w:tc>
        <w:tc>
          <w:tcPr>
            <w:tcW w:w="457" w:type="dxa"/>
            <w:tcBorders>
              <w:top w:val="single" w:sz="4" w:space="0" w:color="auto"/>
              <w:left w:val="nil"/>
            </w:tcBorders>
          </w:tcPr>
          <w:p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rsidR="00BF53AE" w:rsidRDefault="00B827CA" w:rsidP="00B827CA">
            <w:pPr>
              <w:pStyle w:val="Header"/>
              <w:ind w:hanging="13"/>
              <w:rPr>
                <w:sz w:val="20"/>
                <w:szCs w:val="20"/>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Pr="002E2A20">
              <w:rPr>
                <w:sz w:val="20"/>
                <w:szCs w:val="20"/>
              </w:rPr>
              <w:t xml:space="preserve"> to fund an unallotment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 xml:space="preserve">for aid reduction under section 275.70, </w:t>
            </w:r>
          </w:p>
          <w:p w:rsidR="00B827CA" w:rsidRDefault="00B827CA" w:rsidP="00B827CA">
            <w:pPr>
              <w:pStyle w:val="Header"/>
              <w:ind w:hanging="13"/>
              <w:rPr>
                <w:sz w:val="20"/>
                <w:szCs w:val="20"/>
                <w:u w:val="single"/>
              </w:rPr>
            </w:pPr>
            <w:r w:rsidRPr="002E2A20">
              <w:rPr>
                <w:sz w:val="20"/>
                <w:szCs w:val="20"/>
              </w:rPr>
              <w:t>subd. 5 (22), or a similar or successor provision</w:t>
            </w:r>
            <w:r>
              <w:rPr>
                <w:sz w:val="20"/>
                <w:szCs w:val="20"/>
              </w:rPr>
              <w:t xml:space="preserve">; </w:t>
            </w:r>
            <w:r>
              <w:rPr>
                <w:sz w:val="20"/>
                <w:szCs w:val="20"/>
                <w:u w:val="single"/>
              </w:rPr>
              <w:t>and</w:t>
            </w:r>
          </w:p>
          <w:p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EA4796">
        <w:trPr>
          <w:cantSplit/>
        </w:trPr>
        <w:tc>
          <w:tcPr>
            <w:tcW w:w="1247" w:type="dxa"/>
            <w:tcBorders>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rsidR="00B827CA" w:rsidRPr="002E2A20" w:rsidRDefault="00B827CA" w:rsidP="00871D82">
            <w:pPr>
              <w:pStyle w:val="Header"/>
              <w:rPr>
                <w:sz w:val="20"/>
                <w:szCs w:val="20"/>
              </w:rPr>
            </w:pPr>
          </w:p>
        </w:tc>
        <w:tc>
          <w:tcPr>
            <w:tcW w:w="457" w:type="dxa"/>
            <w:tcBorders>
              <w:bottom w:val="single" w:sz="4" w:space="0" w:color="auto"/>
            </w:tcBorders>
          </w:tcPr>
          <w:p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 subd. 5</w:t>
            </w:r>
            <w:r w:rsidRPr="00F83F30">
              <w:rPr>
                <w:sz w:val="20"/>
                <w:szCs w:val="20"/>
              </w:rPr>
              <w:t xml:space="preserve">, clause (2), in order to levy under </w:t>
            </w:r>
            <w:r>
              <w:rPr>
                <w:sz w:val="20"/>
                <w:szCs w:val="20"/>
              </w:rPr>
              <w:t xml:space="preserve">Minn. Stat. § 475.61 </w:t>
            </w:r>
            <w:r w:rsidRPr="00F83F30">
              <w:rPr>
                <w:sz w:val="20"/>
                <w:szCs w:val="20"/>
              </w:rPr>
              <w:t>to fund repayment of the certificates with a levy that is not subject to levy limits</w:t>
            </w:r>
            <w:r>
              <w:rPr>
                <w:sz w:val="20"/>
                <w:szCs w:val="20"/>
              </w:rPr>
              <w:t>?</w:t>
            </w:r>
          </w:p>
          <w:p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rsidTr="00443D9F">
        <w:trPr>
          <w:cantSplit/>
        </w:trPr>
        <w:tc>
          <w:tcPr>
            <w:tcW w:w="122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4E3219"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p>
        </w:tc>
        <w:tc>
          <w:tcPr>
            <w:tcW w:w="533" w:type="dxa"/>
            <w:tcBorders>
              <w:top w:val="single" w:sz="4" w:space="0" w:color="auto"/>
              <w:left w:val="single" w:sz="4" w:space="0" w:color="auto"/>
              <w:bottom w:val="single" w:sz="4" w:space="0" w:color="auto"/>
            </w:tcBorders>
          </w:tcPr>
          <w:p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r>
    </w:tbl>
    <w:p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443D9F">
        <w:trPr>
          <w:cantSplit/>
        </w:trPr>
        <w:tc>
          <w:tcPr>
            <w:tcW w:w="10795"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443D9F">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032"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652F37" w:rsidRPr="0079033C" w:rsidTr="00443D9F">
        <w:trPr>
          <w:cantSplit/>
        </w:trPr>
        <w:tc>
          <w:tcPr>
            <w:tcW w:w="1297" w:type="dxa"/>
            <w:tcBorders>
              <w:top w:val="single" w:sz="4" w:space="0" w:color="auto"/>
              <w:left w:val="single" w:sz="4" w:space="0" w:color="auto"/>
              <w:bottom w:val="single" w:sz="4" w:space="0" w:color="auto"/>
            </w:tcBorders>
          </w:tcPr>
          <w:p w:rsidR="00652F37" w:rsidRPr="0079033C" w:rsidRDefault="00652F37">
            <w:pPr>
              <w:pStyle w:val="Header"/>
              <w:rPr>
                <w:sz w:val="20"/>
                <w:szCs w:val="20"/>
              </w:rPr>
            </w:pPr>
          </w:p>
        </w:tc>
        <w:tc>
          <w:tcPr>
            <w:tcW w:w="467" w:type="dxa"/>
            <w:tcBorders>
              <w:top w:val="single" w:sz="4" w:space="0" w:color="auto"/>
              <w:bottom w:val="single" w:sz="4" w:space="0" w:color="auto"/>
            </w:tcBorders>
          </w:tcPr>
          <w:p w:rsidR="00652F37" w:rsidRPr="0079033C" w:rsidRDefault="00652F37">
            <w:pPr>
              <w:pStyle w:val="Header"/>
              <w:rPr>
                <w:sz w:val="20"/>
                <w:szCs w:val="20"/>
              </w:rPr>
            </w:pPr>
          </w:p>
        </w:tc>
        <w:tc>
          <w:tcPr>
            <w:tcW w:w="504" w:type="dxa"/>
            <w:tcBorders>
              <w:top w:val="single" w:sz="4" w:space="0" w:color="auto"/>
              <w:bottom w:val="single" w:sz="4" w:space="0" w:color="auto"/>
            </w:tcBorders>
          </w:tcPr>
          <w:p w:rsidR="00652F37" w:rsidRPr="0079033C" w:rsidRDefault="00652F37">
            <w:pPr>
              <w:pStyle w:val="Header"/>
              <w:rPr>
                <w:sz w:val="20"/>
                <w:szCs w:val="20"/>
              </w:rPr>
            </w:pPr>
          </w:p>
        </w:tc>
        <w:tc>
          <w:tcPr>
            <w:tcW w:w="6384" w:type="dxa"/>
            <w:tcBorders>
              <w:top w:val="single" w:sz="4" w:space="0" w:color="auto"/>
              <w:bottom w:val="single" w:sz="4" w:space="0" w:color="auto"/>
            </w:tcBorders>
          </w:tcPr>
          <w:p w:rsidR="00652F37" w:rsidRPr="0079033C" w:rsidRDefault="00652F37">
            <w:pPr>
              <w:pStyle w:val="Header"/>
              <w:rPr>
                <w:sz w:val="20"/>
                <w:szCs w:val="20"/>
              </w:rPr>
            </w:pPr>
          </w:p>
        </w:tc>
        <w:tc>
          <w:tcPr>
            <w:tcW w:w="610" w:type="dxa"/>
            <w:tcBorders>
              <w:top w:val="single" w:sz="4" w:space="0" w:color="auto"/>
              <w:bottom w:val="single" w:sz="4" w:space="0" w:color="auto"/>
            </w:tcBorders>
          </w:tcPr>
          <w:p w:rsidR="00652F37" w:rsidRPr="0079033C" w:rsidRDefault="00652F37">
            <w:pPr>
              <w:pStyle w:val="Header"/>
              <w:rPr>
                <w:sz w:val="20"/>
                <w:szCs w:val="20"/>
              </w:rPr>
            </w:pPr>
          </w:p>
        </w:tc>
        <w:tc>
          <w:tcPr>
            <w:tcW w:w="501" w:type="dxa"/>
            <w:tcBorders>
              <w:top w:val="single" w:sz="4" w:space="0" w:color="auto"/>
              <w:bottom w:val="single" w:sz="4" w:space="0" w:color="auto"/>
            </w:tcBorders>
          </w:tcPr>
          <w:p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rsidR="00652F37" w:rsidRPr="0079033C" w:rsidRDefault="00652F37">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bookmarkStart w:id="1" w:name="_GoBack"/>
      <w:bookmarkEnd w:id="1"/>
    </w:p>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185" w:rsidRDefault="00305185">
      <w:r>
        <w:separator/>
      </w:r>
    </w:p>
  </w:endnote>
  <w:endnote w:type="continuationSeparator" w:id="0">
    <w:p w:rsidR="00305185" w:rsidRDefault="0030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85" w:rsidRPr="005B69C8" w:rsidRDefault="00305185" w:rsidP="00013854">
    <w:pPr>
      <w:pStyle w:val="Footer"/>
      <w:tabs>
        <w:tab w:val="clear" w:pos="4320"/>
        <w:tab w:val="clear" w:pos="8640"/>
        <w:tab w:val="center" w:pos="5220"/>
      </w:tabs>
      <w:rPr>
        <w:sz w:val="20"/>
        <w:szCs w:val="20"/>
      </w:rPr>
    </w:pPr>
    <w:r>
      <w:rPr>
        <w:sz w:val="20"/>
        <w:szCs w:val="20"/>
      </w:rPr>
      <w:t>12/2017     Counties</w:t>
    </w:r>
    <w:r w:rsidRPr="00F04B08">
      <w:rPr>
        <w:sz w:val="20"/>
        <w:szCs w:val="20"/>
      </w:rPr>
      <w:tab/>
    </w:r>
    <w:r w:rsidRPr="005B69C8">
      <w:rPr>
        <w:sz w:val="20"/>
        <w:szCs w:val="20"/>
      </w:rPr>
      <w:t>3-</w:t>
    </w:r>
    <w:r w:rsidRPr="005B69C8">
      <w:rPr>
        <w:rStyle w:val="PageNumber"/>
        <w:sz w:val="20"/>
        <w:szCs w:val="20"/>
      </w:rPr>
      <w:fldChar w:fldCharType="begin"/>
    </w:r>
    <w:r w:rsidRPr="005B69C8">
      <w:rPr>
        <w:rStyle w:val="PageNumber"/>
        <w:sz w:val="20"/>
        <w:szCs w:val="20"/>
      </w:rPr>
      <w:instrText xml:space="preserve"> PAGE </w:instrText>
    </w:r>
    <w:r w:rsidRPr="005B69C8">
      <w:rPr>
        <w:rStyle w:val="PageNumber"/>
        <w:sz w:val="20"/>
        <w:szCs w:val="20"/>
      </w:rPr>
      <w:fldChar w:fldCharType="separate"/>
    </w:r>
    <w:r w:rsidR="008E0053">
      <w:rPr>
        <w:rStyle w:val="PageNumber"/>
        <w:noProof/>
        <w:sz w:val="20"/>
        <w:szCs w:val="20"/>
      </w:rPr>
      <w:t>8</w:t>
    </w:r>
    <w:r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185" w:rsidRDefault="00305185">
      <w:r>
        <w:separator/>
      </w:r>
    </w:p>
  </w:footnote>
  <w:footnote w:type="continuationSeparator" w:id="0">
    <w:p w:rsidR="00305185" w:rsidRDefault="0030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185" w:rsidRDefault="00305185">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ayout w:type="fixed"/>
      <w:tblLook w:val="0000" w:firstRow="0" w:lastRow="0" w:firstColumn="0" w:lastColumn="0" w:noHBand="0" w:noVBand="0"/>
    </w:tblPr>
    <w:tblGrid>
      <w:gridCol w:w="1188"/>
      <w:gridCol w:w="498"/>
      <w:gridCol w:w="6859"/>
      <w:gridCol w:w="561"/>
      <w:gridCol w:w="519"/>
      <w:gridCol w:w="1170"/>
    </w:tblGrid>
    <w:tr w:rsidR="00305185" w:rsidRPr="005B69C8" w:rsidTr="008E0053">
      <w:trPr>
        <w:cantSplit/>
      </w:trPr>
      <w:tc>
        <w:tcPr>
          <w:tcW w:w="1188" w:type="dxa"/>
          <w:tcBorders>
            <w:top w:val="single" w:sz="4" w:space="0" w:color="auto"/>
            <w:left w:val="single" w:sz="4" w:space="0" w:color="auto"/>
            <w:bottom w:val="single" w:sz="4" w:space="0" w:color="auto"/>
            <w:right w:val="single" w:sz="4" w:space="0" w:color="auto"/>
          </w:tcBorders>
        </w:tcPr>
        <w:p w:rsidR="00305185" w:rsidRPr="005B69C8" w:rsidRDefault="00305185"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305185" w:rsidRPr="005B69C8" w:rsidRDefault="00305185" w:rsidP="00EF56C2">
          <w:pPr>
            <w:pStyle w:val="Header"/>
            <w:rPr>
              <w:sz w:val="20"/>
              <w:szCs w:val="20"/>
            </w:rPr>
          </w:pPr>
        </w:p>
      </w:tc>
      <w:tc>
        <w:tcPr>
          <w:tcW w:w="6859" w:type="dxa"/>
          <w:tcBorders>
            <w:top w:val="single" w:sz="4" w:space="0" w:color="auto"/>
            <w:bottom w:val="single" w:sz="4" w:space="0" w:color="auto"/>
            <w:right w:val="single" w:sz="4" w:space="0" w:color="auto"/>
          </w:tcBorders>
        </w:tcPr>
        <w:p w:rsidR="00305185" w:rsidRPr="005B69C8" w:rsidRDefault="00305185" w:rsidP="00EF56C2">
          <w:pPr>
            <w:pStyle w:val="Heading1"/>
            <w:rPr>
              <w:rFonts w:ascii="Times New Roman" w:hAnsi="Times New Roman"/>
              <w:sz w:val="20"/>
            </w:rPr>
          </w:pPr>
          <w:r w:rsidRPr="005B69C8">
            <w:rPr>
              <w:rFonts w:ascii="Times New Roman" w:hAnsi="Times New Roman"/>
              <w:sz w:val="20"/>
            </w:rPr>
            <w:t>PUBLIC INDEBTEDNESS</w:t>
          </w:r>
        </w:p>
        <w:p w:rsidR="00305185" w:rsidRPr="005B69C8" w:rsidRDefault="00305185"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305185" w:rsidRPr="005B69C8" w:rsidRDefault="00305185" w:rsidP="00EF56C2">
          <w:pPr>
            <w:pStyle w:val="Header"/>
            <w:rPr>
              <w:sz w:val="20"/>
              <w:szCs w:val="20"/>
            </w:rPr>
          </w:pPr>
        </w:p>
        <w:p w:rsidR="00305185" w:rsidRPr="005B69C8" w:rsidRDefault="00305185"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305185" w:rsidRPr="005B69C8" w:rsidRDefault="00305185" w:rsidP="00EF56C2">
          <w:pPr>
            <w:pStyle w:val="Header"/>
            <w:rPr>
              <w:sz w:val="20"/>
              <w:szCs w:val="20"/>
            </w:rPr>
          </w:pPr>
        </w:p>
        <w:p w:rsidR="00305185" w:rsidRPr="005B69C8" w:rsidRDefault="00305185"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305185" w:rsidRPr="005B69C8" w:rsidRDefault="00305185" w:rsidP="00EF56C2">
          <w:pPr>
            <w:pStyle w:val="Header"/>
            <w:rPr>
              <w:sz w:val="20"/>
              <w:szCs w:val="20"/>
            </w:rPr>
          </w:pPr>
          <w:r w:rsidRPr="005B69C8">
            <w:rPr>
              <w:sz w:val="20"/>
              <w:szCs w:val="20"/>
            </w:rPr>
            <w:t>Workpaper</w:t>
          </w:r>
        </w:p>
        <w:p w:rsidR="00305185" w:rsidRPr="005B69C8" w:rsidRDefault="00305185" w:rsidP="00EF56C2">
          <w:pPr>
            <w:pStyle w:val="Header"/>
            <w:jc w:val="center"/>
            <w:rPr>
              <w:sz w:val="20"/>
              <w:szCs w:val="20"/>
            </w:rPr>
          </w:pPr>
          <w:r w:rsidRPr="005B69C8">
            <w:rPr>
              <w:sz w:val="20"/>
              <w:szCs w:val="20"/>
            </w:rPr>
            <w:t>Reference</w:t>
          </w:r>
        </w:p>
      </w:tc>
    </w:tr>
  </w:tbl>
  <w:p w:rsidR="00305185" w:rsidRPr="000A6A5F" w:rsidRDefault="003051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3854"/>
    <w:rsid w:val="00013BEC"/>
    <w:rsid w:val="000152E9"/>
    <w:rsid w:val="00021D7D"/>
    <w:rsid w:val="00023314"/>
    <w:rsid w:val="00030473"/>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B6F82"/>
    <w:rsid w:val="001C69BC"/>
    <w:rsid w:val="001F466B"/>
    <w:rsid w:val="002107F2"/>
    <w:rsid w:val="00211C37"/>
    <w:rsid w:val="00283486"/>
    <w:rsid w:val="00292940"/>
    <w:rsid w:val="00296FFF"/>
    <w:rsid w:val="002A78A9"/>
    <w:rsid w:val="002D7878"/>
    <w:rsid w:val="002E2A20"/>
    <w:rsid w:val="00305185"/>
    <w:rsid w:val="00320397"/>
    <w:rsid w:val="00376890"/>
    <w:rsid w:val="003A0AD8"/>
    <w:rsid w:val="003C06F2"/>
    <w:rsid w:val="003D3F86"/>
    <w:rsid w:val="00433ACA"/>
    <w:rsid w:val="00443D9F"/>
    <w:rsid w:val="004527DE"/>
    <w:rsid w:val="00457CB8"/>
    <w:rsid w:val="00470FE5"/>
    <w:rsid w:val="004753F4"/>
    <w:rsid w:val="004869B6"/>
    <w:rsid w:val="004D1985"/>
    <w:rsid w:val="004E3219"/>
    <w:rsid w:val="00506B2D"/>
    <w:rsid w:val="00526D97"/>
    <w:rsid w:val="00543CD8"/>
    <w:rsid w:val="0057609A"/>
    <w:rsid w:val="005B2646"/>
    <w:rsid w:val="005B69C8"/>
    <w:rsid w:val="005B76C2"/>
    <w:rsid w:val="005C6B84"/>
    <w:rsid w:val="005D6D8E"/>
    <w:rsid w:val="0060420B"/>
    <w:rsid w:val="00631975"/>
    <w:rsid w:val="00644FEF"/>
    <w:rsid w:val="00652F37"/>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6828"/>
    <w:rsid w:val="009A45BD"/>
    <w:rsid w:val="009B62A4"/>
    <w:rsid w:val="00A33993"/>
    <w:rsid w:val="00A667D8"/>
    <w:rsid w:val="00A758F1"/>
    <w:rsid w:val="00A77BD0"/>
    <w:rsid w:val="00AE4CA9"/>
    <w:rsid w:val="00B10D13"/>
    <w:rsid w:val="00B56355"/>
    <w:rsid w:val="00B56F31"/>
    <w:rsid w:val="00B80AB2"/>
    <w:rsid w:val="00B827CA"/>
    <w:rsid w:val="00B833E0"/>
    <w:rsid w:val="00BA73CC"/>
    <w:rsid w:val="00BC34A5"/>
    <w:rsid w:val="00BC62F2"/>
    <w:rsid w:val="00BC76C2"/>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E24A1F"/>
    <w:rsid w:val="00E33EB3"/>
    <w:rsid w:val="00E33F16"/>
    <w:rsid w:val="00E53966"/>
    <w:rsid w:val="00E70536"/>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9697"/>
    <o:shapelayout v:ext="edit">
      <o:idmap v:ext="edit" data="1"/>
    </o:shapelayout>
  </w:shapeDefaults>
  <w:decimalSymbol w:val="."/>
  <w:listSeparator w:val=","/>
  <w14:docId w14:val="27FF6A82"/>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2803</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8</cp:revision>
  <cp:lastPrinted>2018-02-05T22:21:00Z</cp:lastPrinted>
  <dcterms:created xsi:type="dcterms:W3CDTF">2017-12-20T22:00:00Z</dcterms:created>
  <dcterms:modified xsi:type="dcterms:W3CDTF">2018-02-05T22:21:00Z</dcterms:modified>
</cp:coreProperties>
</file>