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026" w:rsidRDefault="00B80026" w:rsidP="00B80026">
      <w:pPr>
        <w:widowControl w:val="0"/>
        <w:jc w:val="center"/>
        <w:rPr>
          <w:rFonts w:asciiTheme="minorHAnsi" w:hAnsiTheme="minorHAnsi" w:cstheme="minorHAnsi"/>
          <w:b/>
          <w:sz w:val="22"/>
          <w:szCs w:val="22"/>
        </w:rPr>
      </w:pPr>
    </w:p>
    <w:p w:rsidR="008953C4" w:rsidRPr="00B80026" w:rsidRDefault="008953C4" w:rsidP="00B80026">
      <w:pPr>
        <w:widowControl w:val="0"/>
        <w:jc w:val="center"/>
        <w:rPr>
          <w:rFonts w:asciiTheme="minorHAnsi" w:hAnsiTheme="minorHAnsi" w:cstheme="minorHAnsi"/>
          <w:b/>
          <w:sz w:val="22"/>
          <w:szCs w:val="22"/>
        </w:rPr>
      </w:pPr>
    </w:p>
    <w:p w:rsidR="00B80026" w:rsidRPr="00B80026" w:rsidRDefault="00B80026" w:rsidP="00B80026">
      <w:pPr>
        <w:widowControl w:val="0"/>
        <w:jc w:val="right"/>
        <w:rPr>
          <w:rFonts w:asciiTheme="minorHAnsi" w:hAnsiTheme="minorHAnsi" w:cstheme="minorHAnsi"/>
          <w:b/>
          <w:color w:val="FF0000"/>
          <w:sz w:val="22"/>
          <w:szCs w:val="22"/>
        </w:rPr>
      </w:pPr>
      <w:r w:rsidRPr="00B80026">
        <w:rPr>
          <w:rFonts w:asciiTheme="minorHAnsi" w:hAnsiTheme="minorHAnsi" w:cstheme="minorHAnsi"/>
          <w:b/>
          <w:color w:val="FF0000"/>
          <w:sz w:val="22"/>
          <w:szCs w:val="22"/>
        </w:rPr>
        <w:t>Exhibit A</w:t>
      </w:r>
    </w:p>
    <w:p w:rsidR="00B80026" w:rsidRDefault="00B80026" w:rsidP="00B80026">
      <w:pPr>
        <w:widowControl w:val="0"/>
        <w:jc w:val="center"/>
        <w:rPr>
          <w:rFonts w:asciiTheme="minorHAnsi" w:hAnsiTheme="minorHAnsi" w:cstheme="minorHAnsi"/>
          <w:b/>
          <w:sz w:val="22"/>
          <w:szCs w:val="22"/>
        </w:rPr>
      </w:pPr>
    </w:p>
    <w:p w:rsidR="008953C4" w:rsidRPr="00B80026" w:rsidRDefault="008953C4" w:rsidP="00B80026">
      <w:pPr>
        <w:widowControl w:val="0"/>
        <w:jc w:val="center"/>
        <w:rPr>
          <w:rFonts w:asciiTheme="minorHAnsi" w:hAnsiTheme="minorHAnsi" w:cstheme="minorHAnsi"/>
          <w:b/>
          <w:sz w:val="22"/>
          <w:szCs w:val="22"/>
        </w:rPr>
      </w:pPr>
    </w:p>
    <w:p w:rsidR="00B80026" w:rsidRPr="00B80026" w:rsidRDefault="00B80026" w:rsidP="00B80026">
      <w:pPr>
        <w:pStyle w:val="Header"/>
        <w:jc w:val="center"/>
        <w:rPr>
          <w:rFonts w:cstheme="minorHAnsi"/>
          <w:b/>
          <w:color w:val="FF0000"/>
        </w:rPr>
      </w:pPr>
      <w:r w:rsidRPr="00B80026">
        <w:rPr>
          <w:rFonts w:cstheme="minorHAnsi"/>
          <w:b/>
          <w:color w:val="FF0000"/>
        </w:rPr>
        <w:t xml:space="preserve">AGREED-UPON PROCEDURES (AUP) GUIDE </w:t>
      </w:r>
    </w:p>
    <w:p w:rsidR="00B80026" w:rsidRPr="00B80026" w:rsidRDefault="00B80026" w:rsidP="00B80026">
      <w:pPr>
        <w:pStyle w:val="Header"/>
        <w:jc w:val="center"/>
        <w:rPr>
          <w:rFonts w:cstheme="minorHAnsi"/>
          <w:b/>
          <w:color w:val="FF0000"/>
        </w:rPr>
      </w:pPr>
      <w:r w:rsidRPr="00B80026">
        <w:rPr>
          <w:rFonts w:cstheme="minorHAnsi"/>
          <w:b/>
          <w:color w:val="FF0000"/>
        </w:rPr>
        <w:t>FOR SMALL ENTITIES</w:t>
      </w:r>
    </w:p>
    <w:p w:rsidR="00B80026" w:rsidRDefault="00B80026" w:rsidP="002535A1">
      <w:pPr>
        <w:rPr>
          <w:rFonts w:asciiTheme="minorHAnsi" w:hAnsiTheme="minorHAnsi" w:cstheme="minorHAnsi"/>
          <w:sz w:val="22"/>
          <w:szCs w:val="22"/>
        </w:rPr>
      </w:pPr>
    </w:p>
    <w:p w:rsidR="00B80026" w:rsidRDefault="00B80026" w:rsidP="002535A1">
      <w:pPr>
        <w:rPr>
          <w:rFonts w:asciiTheme="minorHAnsi" w:hAnsiTheme="minorHAnsi" w:cstheme="minorHAnsi"/>
          <w:sz w:val="22"/>
          <w:szCs w:val="22"/>
        </w:rPr>
      </w:pPr>
    </w:p>
    <w:p w:rsidR="00B80026" w:rsidRPr="00B80026" w:rsidRDefault="00B80026" w:rsidP="002535A1">
      <w:pPr>
        <w:rPr>
          <w:rFonts w:asciiTheme="minorHAnsi" w:hAnsiTheme="minorHAnsi" w:cstheme="minorHAnsi"/>
          <w:sz w:val="22"/>
          <w:szCs w:val="22"/>
        </w:rPr>
      </w:pPr>
      <w:r w:rsidRPr="00B80026">
        <w:rPr>
          <w:rFonts w:asciiTheme="minorHAnsi" w:hAnsiTheme="minorHAnsi" w:cstheme="minorHAnsi"/>
          <w:sz w:val="22"/>
          <w:szCs w:val="22"/>
        </w:rPr>
        <w:t>The following procedures should be performed for a standard agreed-upon procedures engagement:</w:t>
      </w:r>
    </w:p>
    <w:p w:rsidR="00B80026" w:rsidRPr="00B80026" w:rsidRDefault="00B80026" w:rsidP="002535A1">
      <w:pPr>
        <w:rPr>
          <w:rFonts w:asciiTheme="minorHAnsi" w:hAnsiTheme="minorHAnsi" w:cstheme="minorHAnsi"/>
          <w:sz w:val="22"/>
          <w:szCs w:val="22"/>
        </w:rPr>
      </w:pPr>
    </w:p>
    <w:p w:rsidR="00B80026" w:rsidRPr="00B80026" w:rsidRDefault="00B80026" w:rsidP="002535A1">
      <w:pPr>
        <w:tabs>
          <w:tab w:val="left" w:pos="540"/>
        </w:tabs>
        <w:ind w:left="540" w:hanging="540"/>
        <w:rPr>
          <w:rFonts w:asciiTheme="minorHAnsi" w:hAnsiTheme="minorHAnsi" w:cstheme="minorHAnsi"/>
          <w:sz w:val="22"/>
          <w:szCs w:val="22"/>
        </w:rPr>
      </w:pPr>
      <w:r w:rsidRPr="00B80026">
        <w:rPr>
          <w:rFonts w:asciiTheme="minorHAnsi" w:hAnsiTheme="minorHAnsi" w:cstheme="minorHAnsi"/>
          <w:sz w:val="22"/>
          <w:szCs w:val="22"/>
        </w:rPr>
        <w:t>1.</w:t>
      </w:r>
      <w:r w:rsidRPr="00B80026">
        <w:rPr>
          <w:rFonts w:asciiTheme="minorHAnsi" w:hAnsiTheme="minorHAnsi" w:cstheme="minorHAnsi"/>
          <w:sz w:val="22"/>
          <w:szCs w:val="22"/>
        </w:rPr>
        <w:tab/>
        <w:t xml:space="preserve">Obtain and read the meeting minutes of the governing body for the period covered by the AUP engagement.  For the minutes of four meetings determine if the minutes are adequately prepared and approved for the [entity].  </w:t>
      </w:r>
    </w:p>
    <w:p w:rsidR="00B80026" w:rsidRPr="00B80026" w:rsidRDefault="00B80026" w:rsidP="002535A1">
      <w:pPr>
        <w:tabs>
          <w:tab w:val="left" w:pos="360"/>
        </w:tabs>
        <w:ind w:left="360" w:hanging="360"/>
        <w:rPr>
          <w:rFonts w:asciiTheme="minorHAnsi" w:hAnsiTheme="minorHAnsi" w:cstheme="minorHAnsi"/>
          <w:sz w:val="22"/>
          <w:szCs w:val="22"/>
        </w:rPr>
      </w:pPr>
    </w:p>
    <w:p w:rsidR="00B80026" w:rsidRPr="002535A1"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t>The Board minutes of the entity should be completed in a timely manner.  Generally, a timely manner would mean the minutes of a monthly meeting should be completed and ready for approval at the next monthly Board meeting.  The minutes should include the results of actions taken, including the votes made, and signed by the preparer and the Board chair/president.</w:t>
      </w:r>
    </w:p>
    <w:p w:rsidR="00B80026" w:rsidRPr="008953C4" w:rsidRDefault="00B80026" w:rsidP="002535A1">
      <w:pPr>
        <w:tabs>
          <w:tab w:val="left" w:pos="360"/>
        </w:tabs>
        <w:rPr>
          <w:rFonts w:asciiTheme="minorHAnsi" w:hAnsiTheme="minorHAnsi" w:cstheme="minorHAnsi"/>
          <w:sz w:val="22"/>
          <w:szCs w:val="22"/>
        </w:rPr>
      </w:pPr>
    </w:p>
    <w:p w:rsidR="00B80026" w:rsidRPr="008953C4"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t xml:space="preserve">The primary purpose of the procedure is to determine if the Board is properly documenting its official actions. </w:t>
      </w:r>
      <w:r w:rsidR="008953C4">
        <w:rPr>
          <w:rFonts w:asciiTheme="minorHAnsi" w:hAnsiTheme="minorHAnsi" w:cstheme="minorHAnsi"/>
          <w:i/>
          <w:sz w:val="22"/>
          <w:szCs w:val="22"/>
        </w:rPr>
        <w:t xml:space="preserve"> </w:t>
      </w:r>
      <w:r w:rsidRPr="00B80026">
        <w:rPr>
          <w:rFonts w:asciiTheme="minorHAnsi" w:hAnsiTheme="minorHAnsi" w:cstheme="minorHAnsi"/>
          <w:i/>
          <w:sz w:val="22"/>
          <w:szCs w:val="22"/>
        </w:rPr>
        <w:t>Although a review of the entire year’s minutes may not be necessary to make that determination, the audit practitioner may obtain information that could have an impact on the other p</w:t>
      </w:r>
      <w:bookmarkStart w:id="0" w:name="_GoBack"/>
      <w:bookmarkEnd w:id="0"/>
      <w:r w:rsidRPr="00B80026">
        <w:rPr>
          <w:rFonts w:asciiTheme="minorHAnsi" w:hAnsiTheme="minorHAnsi" w:cstheme="minorHAnsi"/>
          <w:i/>
          <w:sz w:val="22"/>
          <w:szCs w:val="22"/>
        </w:rPr>
        <w:t>rocedures performed from a complete review of the entity’s minutes.  The audit practitioner should document actions that have an impact on the agreed-upon procedures.</w:t>
      </w:r>
    </w:p>
    <w:p w:rsidR="00B80026" w:rsidRPr="00B80026" w:rsidRDefault="00B80026" w:rsidP="002535A1">
      <w:pPr>
        <w:tabs>
          <w:tab w:val="left" w:pos="360"/>
        </w:tabs>
        <w:rPr>
          <w:rFonts w:asciiTheme="minorHAnsi" w:hAnsiTheme="minorHAnsi" w:cstheme="minorHAnsi"/>
          <w:sz w:val="22"/>
          <w:szCs w:val="22"/>
        </w:rPr>
      </w:pPr>
    </w:p>
    <w:p w:rsidR="00B80026" w:rsidRPr="00B80026" w:rsidRDefault="00B80026" w:rsidP="002535A1">
      <w:pPr>
        <w:tabs>
          <w:tab w:val="left" w:pos="540"/>
        </w:tabs>
        <w:ind w:left="540" w:hanging="540"/>
        <w:rPr>
          <w:rFonts w:asciiTheme="minorHAnsi" w:hAnsiTheme="minorHAnsi" w:cstheme="minorHAnsi"/>
          <w:sz w:val="22"/>
          <w:szCs w:val="22"/>
        </w:rPr>
      </w:pPr>
      <w:r w:rsidRPr="00B80026">
        <w:rPr>
          <w:rFonts w:asciiTheme="minorHAnsi" w:hAnsiTheme="minorHAnsi" w:cstheme="minorHAnsi"/>
          <w:sz w:val="22"/>
          <w:szCs w:val="22"/>
        </w:rPr>
        <w:t>2.</w:t>
      </w:r>
      <w:r w:rsidRPr="00B80026">
        <w:rPr>
          <w:rFonts w:asciiTheme="minorHAnsi" w:hAnsiTheme="minorHAnsi" w:cstheme="minorHAnsi"/>
          <w:sz w:val="22"/>
          <w:szCs w:val="22"/>
        </w:rPr>
        <w:tab/>
        <w:t xml:space="preserve">Inquire of [entity]’s management about whether they have assessed whether internal controls are adequate enough to prevent or detect errors or fraud or that internal controls are in place to mitigate the risk.  Determine if they have documented that risk assessment and, if so, read documentation of that risk assessment for adequacy.  </w:t>
      </w:r>
    </w:p>
    <w:p w:rsidR="00B80026" w:rsidRPr="00B80026" w:rsidRDefault="00B80026" w:rsidP="002535A1">
      <w:pPr>
        <w:tabs>
          <w:tab w:val="left" w:pos="360"/>
        </w:tabs>
        <w:ind w:left="360" w:hanging="360"/>
        <w:rPr>
          <w:rFonts w:asciiTheme="minorHAnsi" w:hAnsiTheme="minorHAnsi" w:cstheme="minorHAnsi"/>
          <w:sz w:val="22"/>
          <w:szCs w:val="22"/>
        </w:rPr>
      </w:pPr>
    </w:p>
    <w:p w:rsidR="00B80026" w:rsidRPr="008953C4"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t>An adequate system of internal controls is likely not possible for most small entities.  The small staff and lack of training in internal control pose significant challenges to maintaining adequate controls.  However, the fact that an entity has considered what controls could be maintained and how to attempt to mitigate significant deficiencies provides some reassurance about the control environment.</w:t>
      </w:r>
    </w:p>
    <w:p w:rsidR="00B80026" w:rsidRPr="008953C4" w:rsidRDefault="00B80026" w:rsidP="002535A1">
      <w:pPr>
        <w:tabs>
          <w:tab w:val="left" w:pos="360"/>
        </w:tabs>
        <w:rPr>
          <w:rFonts w:asciiTheme="minorHAnsi" w:hAnsiTheme="minorHAnsi" w:cstheme="minorHAnsi"/>
          <w:sz w:val="22"/>
          <w:szCs w:val="22"/>
        </w:rPr>
      </w:pPr>
    </w:p>
    <w:p w:rsidR="00B80026" w:rsidRPr="008953C4"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t>The purpose of this procedure is to determine whether the entity has given consideration to maintaining internal controls.</w:t>
      </w:r>
    </w:p>
    <w:p w:rsidR="00B80026" w:rsidRDefault="00B80026" w:rsidP="002535A1">
      <w:pPr>
        <w:rPr>
          <w:rFonts w:asciiTheme="minorHAnsi" w:hAnsiTheme="minorHAnsi" w:cstheme="minorHAnsi"/>
          <w:sz w:val="22"/>
          <w:szCs w:val="22"/>
        </w:rPr>
      </w:pPr>
    </w:p>
    <w:p w:rsidR="00B80026" w:rsidRDefault="00B80026" w:rsidP="002535A1">
      <w:pPr>
        <w:rPr>
          <w:rFonts w:asciiTheme="minorHAnsi" w:hAnsiTheme="minorHAnsi" w:cstheme="minorHAnsi"/>
          <w:sz w:val="22"/>
          <w:szCs w:val="22"/>
        </w:rPr>
      </w:pPr>
      <w:r>
        <w:rPr>
          <w:rFonts w:asciiTheme="minorHAnsi" w:hAnsiTheme="minorHAnsi" w:cstheme="minorHAnsi"/>
          <w:sz w:val="22"/>
          <w:szCs w:val="22"/>
        </w:rPr>
        <w:br w:type="page"/>
      </w:r>
    </w:p>
    <w:p w:rsidR="00B80026" w:rsidRPr="00B80026" w:rsidRDefault="00B80026" w:rsidP="002535A1">
      <w:pPr>
        <w:tabs>
          <w:tab w:val="left" w:pos="540"/>
        </w:tabs>
        <w:ind w:left="540" w:hanging="540"/>
        <w:rPr>
          <w:rFonts w:asciiTheme="minorHAnsi" w:hAnsiTheme="minorHAnsi" w:cstheme="minorHAnsi"/>
          <w:sz w:val="22"/>
          <w:szCs w:val="22"/>
        </w:rPr>
      </w:pPr>
      <w:r w:rsidRPr="00B80026">
        <w:rPr>
          <w:rFonts w:asciiTheme="minorHAnsi" w:hAnsiTheme="minorHAnsi" w:cstheme="minorHAnsi"/>
          <w:sz w:val="22"/>
          <w:szCs w:val="22"/>
        </w:rPr>
        <w:lastRenderedPageBreak/>
        <w:t>3.</w:t>
      </w:r>
      <w:r w:rsidRPr="00B80026">
        <w:rPr>
          <w:rFonts w:asciiTheme="minorHAnsi" w:hAnsiTheme="minorHAnsi" w:cstheme="minorHAnsi"/>
          <w:sz w:val="22"/>
          <w:szCs w:val="22"/>
        </w:rPr>
        <w:tab/>
        <w:t xml:space="preserve">Inquire of management about the entity’s procedures and observe the records used to account for the receipts and disbursements of funds.  Determine such procedures and records are adequate for reporting the receipt and disbursement activities of the [entity].  </w:t>
      </w:r>
    </w:p>
    <w:p w:rsidR="00B80026" w:rsidRDefault="00B80026" w:rsidP="002535A1">
      <w:pPr>
        <w:rPr>
          <w:rFonts w:asciiTheme="minorHAnsi" w:hAnsiTheme="minorHAnsi" w:cstheme="minorHAnsi"/>
          <w:sz w:val="22"/>
          <w:szCs w:val="22"/>
        </w:rPr>
      </w:pPr>
    </w:p>
    <w:p w:rsidR="00B80026" w:rsidRPr="008953C4"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t>Most transactions of a small entity involve either the receipt or payment of money.  Therefore, it is important good records are maintained for receipts and disbursements.  The procedures for maintaining those records should be adequate enough to provide reliable information.</w:t>
      </w:r>
    </w:p>
    <w:p w:rsidR="00B80026" w:rsidRPr="008953C4" w:rsidRDefault="00B80026" w:rsidP="002535A1">
      <w:pPr>
        <w:tabs>
          <w:tab w:val="left" w:pos="360"/>
        </w:tabs>
        <w:rPr>
          <w:rFonts w:asciiTheme="minorHAnsi" w:hAnsiTheme="minorHAnsi" w:cstheme="minorHAnsi"/>
          <w:sz w:val="22"/>
          <w:szCs w:val="22"/>
        </w:rPr>
      </w:pPr>
    </w:p>
    <w:p w:rsidR="00B80026" w:rsidRPr="008953C4"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t>The records should include a reference number, date, source or payee, purpose or description, amount, and account code.</w:t>
      </w:r>
    </w:p>
    <w:p w:rsidR="00B80026" w:rsidRPr="00B80026" w:rsidRDefault="00B80026" w:rsidP="002535A1">
      <w:pPr>
        <w:tabs>
          <w:tab w:val="left" w:pos="360"/>
        </w:tabs>
        <w:rPr>
          <w:rFonts w:asciiTheme="minorHAnsi" w:hAnsiTheme="minorHAnsi" w:cstheme="minorHAnsi"/>
          <w:sz w:val="22"/>
          <w:szCs w:val="22"/>
        </w:rPr>
      </w:pPr>
    </w:p>
    <w:p w:rsidR="00B80026" w:rsidRPr="00B80026" w:rsidRDefault="00B80026" w:rsidP="002535A1">
      <w:pPr>
        <w:tabs>
          <w:tab w:val="left" w:pos="540"/>
        </w:tabs>
        <w:ind w:left="540" w:hanging="540"/>
        <w:rPr>
          <w:rFonts w:asciiTheme="minorHAnsi" w:hAnsiTheme="minorHAnsi" w:cstheme="minorHAnsi"/>
          <w:sz w:val="22"/>
          <w:szCs w:val="22"/>
        </w:rPr>
      </w:pPr>
      <w:r w:rsidRPr="00B80026">
        <w:rPr>
          <w:rFonts w:asciiTheme="minorHAnsi" w:hAnsiTheme="minorHAnsi" w:cstheme="minorHAnsi"/>
          <w:sz w:val="22"/>
          <w:szCs w:val="22"/>
        </w:rPr>
        <w:t>4.</w:t>
      </w:r>
      <w:r w:rsidRPr="00B80026">
        <w:rPr>
          <w:rFonts w:asciiTheme="minorHAnsi" w:hAnsiTheme="minorHAnsi" w:cstheme="minorHAnsi"/>
          <w:sz w:val="22"/>
          <w:szCs w:val="22"/>
        </w:rPr>
        <w:tab/>
        <w:t xml:space="preserve">For 3 monthly bank account reconciliations, determine that they are being performed in a timely manner and that all bank and investment statements for the fiscal year are complete and on-hand.  View the monthly bank reconciliations for each month during 201X to determine whether they had been reviewed and signed off on by a Board/Council member. </w:t>
      </w:r>
    </w:p>
    <w:p w:rsidR="00B80026" w:rsidRPr="00B80026" w:rsidRDefault="00B80026" w:rsidP="002535A1">
      <w:pPr>
        <w:tabs>
          <w:tab w:val="left" w:pos="360"/>
        </w:tabs>
        <w:ind w:left="360" w:hanging="360"/>
        <w:rPr>
          <w:rFonts w:asciiTheme="minorHAnsi" w:hAnsiTheme="minorHAnsi" w:cstheme="minorHAnsi"/>
          <w:sz w:val="22"/>
          <w:szCs w:val="22"/>
        </w:rPr>
      </w:pPr>
    </w:p>
    <w:p w:rsidR="00B80026" w:rsidRPr="008953C4"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t>In a small environment, bank reconciliations provide one of the most significant internal control activities.  Since the main asset of most of these entities is cash, and most of the entity’s activity is recorded in financial institution accounts, a relatively simple procedure like the bank reconciliation is an essential control for determining whether errors or fraud have occurred.</w:t>
      </w:r>
    </w:p>
    <w:p w:rsidR="00B80026" w:rsidRPr="008953C4" w:rsidRDefault="00B80026" w:rsidP="002535A1">
      <w:pPr>
        <w:tabs>
          <w:tab w:val="left" w:pos="360"/>
        </w:tabs>
        <w:rPr>
          <w:rFonts w:asciiTheme="minorHAnsi" w:hAnsiTheme="minorHAnsi" w:cstheme="minorHAnsi"/>
          <w:sz w:val="22"/>
          <w:szCs w:val="22"/>
        </w:rPr>
      </w:pPr>
    </w:p>
    <w:p w:rsidR="00B80026" w:rsidRPr="008953C4"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t>The review for signoff by a Board member is done in situations where segregation of duties is not adequate and, thus, supervision of bank activity becomes a key mitigating internal control.  Scanning the entire year’s reconciliation is done to ensure that the control is in place throughout the year.</w:t>
      </w:r>
    </w:p>
    <w:p w:rsidR="00B80026" w:rsidRPr="00B80026" w:rsidRDefault="00B80026" w:rsidP="002535A1">
      <w:pPr>
        <w:tabs>
          <w:tab w:val="left" w:pos="360"/>
        </w:tabs>
        <w:rPr>
          <w:rFonts w:asciiTheme="minorHAnsi" w:hAnsiTheme="minorHAnsi" w:cstheme="minorHAnsi"/>
          <w:sz w:val="22"/>
          <w:szCs w:val="22"/>
        </w:rPr>
      </w:pPr>
    </w:p>
    <w:p w:rsidR="00B80026" w:rsidRPr="00B80026" w:rsidRDefault="00B80026" w:rsidP="002535A1">
      <w:pPr>
        <w:tabs>
          <w:tab w:val="left" w:pos="540"/>
        </w:tabs>
        <w:ind w:left="540" w:hanging="540"/>
        <w:rPr>
          <w:rFonts w:asciiTheme="minorHAnsi" w:hAnsiTheme="minorHAnsi" w:cstheme="minorHAnsi"/>
          <w:sz w:val="22"/>
          <w:szCs w:val="22"/>
        </w:rPr>
      </w:pPr>
      <w:r w:rsidRPr="00B80026">
        <w:rPr>
          <w:rFonts w:asciiTheme="minorHAnsi" w:hAnsiTheme="minorHAnsi" w:cstheme="minorHAnsi"/>
          <w:sz w:val="22"/>
          <w:szCs w:val="22"/>
        </w:rPr>
        <w:t>5.</w:t>
      </w:r>
      <w:r w:rsidRPr="00B80026">
        <w:rPr>
          <w:rFonts w:asciiTheme="minorHAnsi" w:hAnsiTheme="minorHAnsi" w:cstheme="minorHAnsi"/>
          <w:sz w:val="22"/>
          <w:szCs w:val="22"/>
        </w:rPr>
        <w:tab/>
        <w:t xml:space="preserve">Mathematically </w:t>
      </w:r>
      <w:proofErr w:type="spellStart"/>
      <w:r w:rsidRPr="00B80026">
        <w:rPr>
          <w:rFonts w:asciiTheme="minorHAnsi" w:hAnsiTheme="minorHAnsi" w:cstheme="minorHAnsi"/>
          <w:sz w:val="22"/>
          <w:szCs w:val="22"/>
        </w:rPr>
        <w:t>recompute</w:t>
      </w:r>
      <w:proofErr w:type="spellEnd"/>
      <w:r w:rsidRPr="00B80026">
        <w:rPr>
          <w:rFonts w:asciiTheme="minorHAnsi" w:hAnsiTheme="minorHAnsi" w:cstheme="minorHAnsi"/>
          <w:sz w:val="22"/>
          <w:szCs w:val="22"/>
        </w:rPr>
        <w:t xml:space="preserve"> two bank reconciliations and compare the resultant cash balances per bank to the respective general ledger account balances. </w:t>
      </w:r>
    </w:p>
    <w:p w:rsidR="00B80026" w:rsidRPr="00B80026" w:rsidRDefault="00B80026" w:rsidP="002535A1">
      <w:pPr>
        <w:tabs>
          <w:tab w:val="left" w:pos="360"/>
        </w:tabs>
        <w:ind w:left="360" w:hanging="360"/>
        <w:rPr>
          <w:rFonts w:asciiTheme="minorHAnsi" w:hAnsiTheme="minorHAnsi" w:cstheme="minorHAnsi"/>
          <w:sz w:val="22"/>
          <w:szCs w:val="22"/>
        </w:rPr>
      </w:pPr>
    </w:p>
    <w:p w:rsidR="00B80026" w:rsidRPr="008953C4"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t>The purpose of this procedure is to determine if the reconciliations are being accurately completed.  The reconciliations should be mathematically correct and traced between the entity’s records and the bank statements.</w:t>
      </w:r>
    </w:p>
    <w:p w:rsidR="00B80026" w:rsidRPr="00B80026" w:rsidRDefault="00B80026" w:rsidP="002535A1">
      <w:pPr>
        <w:tabs>
          <w:tab w:val="left" w:pos="360"/>
        </w:tabs>
        <w:rPr>
          <w:rFonts w:asciiTheme="minorHAnsi" w:hAnsiTheme="minorHAnsi" w:cstheme="minorHAnsi"/>
          <w:sz w:val="22"/>
          <w:szCs w:val="22"/>
        </w:rPr>
      </w:pPr>
    </w:p>
    <w:p w:rsidR="00B80026" w:rsidRPr="00B80026" w:rsidRDefault="00B80026" w:rsidP="002535A1">
      <w:pPr>
        <w:tabs>
          <w:tab w:val="left" w:pos="540"/>
        </w:tabs>
        <w:ind w:left="540" w:hanging="540"/>
        <w:rPr>
          <w:rFonts w:asciiTheme="minorHAnsi" w:hAnsiTheme="minorHAnsi" w:cstheme="minorHAnsi"/>
          <w:sz w:val="22"/>
          <w:szCs w:val="22"/>
        </w:rPr>
      </w:pPr>
      <w:r w:rsidRPr="00B80026">
        <w:rPr>
          <w:rFonts w:asciiTheme="minorHAnsi" w:hAnsiTheme="minorHAnsi" w:cstheme="minorHAnsi"/>
          <w:sz w:val="22"/>
          <w:szCs w:val="22"/>
        </w:rPr>
        <w:t>6.</w:t>
      </w:r>
      <w:r w:rsidRPr="00B80026">
        <w:rPr>
          <w:rFonts w:asciiTheme="minorHAnsi" w:hAnsiTheme="minorHAnsi" w:cstheme="minorHAnsi"/>
          <w:sz w:val="22"/>
          <w:szCs w:val="22"/>
        </w:rPr>
        <w:tab/>
        <w:t>Select a sample of cash disbursements and test at least X transactions to determine that the amount recorded in the general ledger as disbursed agrees to supporting documentation by verifying that the amount, payee, date, and description agrees to the vendor’s invoice, purchase order, contract, and canceled check, as appropriate.</w:t>
      </w:r>
    </w:p>
    <w:p w:rsidR="00B80026" w:rsidRPr="00B80026" w:rsidRDefault="00B80026" w:rsidP="002535A1">
      <w:pPr>
        <w:tabs>
          <w:tab w:val="left" w:pos="360"/>
        </w:tabs>
        <w:ind w:left="360" w:hanging="360"/>
        <w:rPr>
          <w:rFonts w:asciiTheme="minorHAnsi" w:hAnsiTheme="minorHAnsi" w:cstheme="minorHAnsi"/>
          <w:sz w:val="22"/>
          <w:szCs w:val="22"/>
        </w:rPr>
      </w:pPr>
    </w:p>
    <w:p w:rsidR="00B80026" w:rsidRPr="008953C4" w:rsidRDefault="00B80026" w:rsidP="002535A1">
      <w:pPr>
        <w:pStyle w:val="NormalWeb"/>
        <w:spacing w:before="0" w:beforeAutospacing="0" w:after="0" w:afterAutospacing="0"/>
        <w:ind w:left="540"/>
        <w:rPr>
          <w:rStyle w:val="Strong"/>
          <w:rFonts w:asciiTheme="minorHAnsi" w:hAnsiTheme="minorHAnsi" w:cstheme="minorHAnsi"/>
          <w:b w:val="0"/>
          <w:sz w:val="22"/>
          <w:szCs w:val="22"/>
        </w:rPr>
      </w:pPr>
      <w:r w:rsidRPr="00B80026">
        <w:rPr>
          <w:rStyle w:val="Strong"/>
          <w:rFonts w:asciiTheme="minorHAnsi" w:hAnsiTheme="minorHAnsi" w:cstheme="minorHAnsi"/>
          <w:i/>
          <w:sz w:val="22"/>
          <w:szCs w:val="22"/>
        </w:rPr>
        <w:t>The purpose of the procedure is to identify whether the sampled items are properly recorded and have a valid purpose.  The goal is to trace the recorded transaction to supporting documentation and the imaged canceled check.</w:t>
      </w:r>
    </w:p>
    <w:p w:rsidR="00B80026" w:rsidRPr="008953C4" w:rsidRDefault="00B80026" w:rsidP="002535A1">
      <w:pPr>
        <w:pStyle w:val="NormalWeb"/>
        <w:spacing w:before="0" w:beforeAutospacing="0" w:after="0" w:afterAutospacing="0"/>
        <w:rPr>
          <w:rStyle w:val="Strong"/>
          <w:rFonts w:asciiTheme="minorHAnsi" w:hAnsiTheme="minorHAnsi" w:cstheme="minorHAnsi"/>
          <w:b w:val="0"/>
          <w:sz w:val="22"/>
          <w:szCs w:val="22"/>
        </w:rPr>
      </w:pPr>
    </w:p>
    <w:p w:rsidR="00B80026" w:rsidRDefault="00B80026" w:rsidP="002535A1">
      <w:pPr>
        <w:pStyle w:val="NormalWeb"/>
        <w:spacing w:before="0" w:beforeAutospacing="0" w:after="0" w:afterAutospacing="0"/>
        <w:ind w:left="540"/>
        <w:rPr>
          <w:rFonts w:asciiTheme="minorHAnsi" w:hAnsiTheme="minorHAnsi" w:cstheme="minorHAnsi"/>
          <w:sz w:val="22"/>
          <w:szCs w:val="22"/>
        </w:rPr>
      </w:pPr>
      <w:r w:rsidRPr="00B80026">
        <w:rPr>
          <w:rStyle w:val="Strong"/>
          <w:rFonts w:asciiTheme="minorHAnsi" w:hAnsiTheme="minorHAnsi" w:cstheme="minorHAnsi"/>
          <w:i/>
          <w:sz w:val="22"/>
          <w:szCs w:val="22"/>
        </w:rPr>
        <w:t>For selecting a sample, we recommend using the guidance within the AICPA’s Audit and Accounting Guide: Government Auditing Standards and Single Audits,</w:t>
      </w:r>
      <w:r w:rsidRPr="00B80026">
        <w:rPr>
          <w:rFonts w:asciiTheme="minorHAnsi" w:hAnsiTheme="minorHAnsi" w:cstheme="minorHAnsi"/>
          <w:sz w:val="22"/>
          <w:szCs w:val="22"/>
        </w:rPr>
        <w:t xml:space="preserve"> </w:t>
      </w:r>
      <w:r w:rsidRPr="00B80026">
        <w:rPr>
          <w:rFonts w:asciiTheme="minorHAnsi" w:hAnsiTheme="minorHAnsi" w:cstheme="minorHAnsi"/>
          <w:i/>
          <w:sz w:val="22"/>
          <w:szCs w:val="22"/>
        </w:rPr>
        <w:t>Chapter</w:t>
      </w:r>
      <w:r w:rsidR="008953C4">
        <w:rPr>
          <w:rFonts w:asciiTheme="minorHAnsi" w:hAnsiTheme="minorHAnsi" w:cstheme="minorHAnsi"/>
          <w:i/>
          <w:sz w:val="22"/>
          <w:szCs w:val="22"/>
        </w:rPr>
        <w:t xml:space="preserve"> </w:t>
      </w:r>
      <w:r w:rsidRPr="00B80026">
        <w:rPr>
          <w:rFonts w:asciiTheme="minorHAnsi" w:hAnsiTheme="minorHAnsi" w:cstheme="minorHAnsi"/>
          <w:i/>
          <w:sz w:val="22"/>
          <w:szCs w:val="22"/>
        </w:rPr>
        <w:t xml:space="preserve">11 </w:t>
      </w:r>
      <w:r w:rsidR="008953C4">
        <w:rPr>
          <w:rFonts w:asciiTheme="minorHAnsi" w:hAnsiTheme="minorHAnsi" w:cstheme="minorHAnsi"/>
          <w:i/>
          <w:sz w:val="22"/>
          <w:szCs w:val="22"/>
        </w:rPr>
        <w:t>–</w:t>
      </w:r>
      <w:r w:rsidRPr="00B80026">
        <w:rPr>
          <w:rFonts w:asciiTheme="minorHAnsi" w:hAnsiTheme="minorHAnsi" w:cstheme="minorHAnsi"/>
          <w:i/>
          <w:sz w:val="22"/>
          <w:szCs w:val="22"/>
        </w:rPr>
        <w:t xml:space="preserve"> Audit Sampling Considerations of Uniform Guidance Compliance Audits.  While the guidance is directed towards compliance auditing, it provides a useful guide for small populations:</w:t>
      </w:r>
      <w:r>
        <w:rPr>
          <w:rFonts w:asciiTheme="minorHAnsi" w:hAnsiTheme="minorHAnsi" w:cstheme="minorHAnsi"/>
          <w:sz w:val="22"/>
          <w:szCs w:val="22"/>
        </w:rPr>
        <w:br w:type="page"/>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140"/>
      </w:tblGrid>
      <w:tr w:rsidR="00B80026" w:rsidRPr="00B80026" w:rsidTr="00CF2563">
        <w:tc>
          <w:tcPr>
            <w:tcW w:w="8100" w:type="dxa"/>
            <w:gridSpan w:val="2"/>
            <w:shd w:val="clear" w:color="auto" w:fill="auto"/>
          </w:tcPr>
          <w:p w:rsidR="00B80026" w:rsidRPr="00B80026" w:rsidRDefault="00B80026" w:rsidP="00CF2563">
            <w:pPr>
              <w:pStyle w:val="NormalWeb"/>
              <w:spacing w:before="0" w:beforeAutospacing="0" w:after="0" w:afterAutospacing="0"/>
              <w:jc w:val="both"/>
              <w:rPr>
                <w:rFonts w:asciiTheme="minorHAnsi" w:hAnsiTheme="minorHAnsi" w:cstheme="minorHAnsi"/>
                <w:sz w:val="18"/>
                <w:szCs w:val="18"/>
              </w:rPr>
            </w:pPr>
            <w:r w:rsidRPr="00B80026">
              <w:rPr>
                <w:rStyle w:val="Strong"/>
                <w:rFonts w:asciiTheme="minorHAnsi" w:hAnsiTheme="minorHAnsi" w:cstheme="minorHAnsi"/>
                <w:i/>
                <w:iCs/>
                <w:sz w:val="18"/>
                <w:szCs w:val="18"/>
              </w:rPr>
              <w:lastRenderedPageBreak/>
              <w:t>Small Population Sample Size Table</w:t>
            </w:r>
          </w:p>
        </w:tc>
      </w:tr>
      <w:tr w:rsidR="00B80026" w:rsidRPr="00B80026" w:rsidTr="00CF2563">
        <w:tc>
          <w:tcPr>
            <w:tcW w:w="3960" w:type="dxa"/>
            <w:shd w:val="clear" w:color="auto" w:fill="auto"/>
          </w:tcPr>
          <w:p w:rsidR="00B80026" w:rsidRPr="00B80026" w:rsidRDefault="00B80026" w:rsidP="00CF2563">
            <w:pPr>
              <w:pStyle w:val="NormalWeb"/>
              <w:spacing w:before="0" w:beforeAutospacing="0" w:after="0" w:afterAutospacing="0"/>
              <w:jc w:val="both"/>
              <w:rPr>
                <w:rFonts w:asciiTheme="minorHAnsi" w:hAnsiTheme="minorHAnsi" w:cstheme="minorHAnsi"/>
                <w:b/>
                <w:sz w:val="18"/>
                <w:szCs w:val="18"/>
              </w:rPr>
            </w:pPr>
            <w:r w:rsidRPr="00B80026">
              <w:rPr>
                <w:rFonts w:asciiTheme="minorHAnsi" w:hAnsiTheme="minorHAnsi" w:cstheme="minorHAnsi"/>
                <w:b/>
                <w:i/>
                <w:iCs/>
                <w:sz w:val="18"/>
                <w:szCs w:val="18"/>
              </w:rPr>
              <w:t>Frequency and Population Size</w:t>
            </w:r>
          </w:p>
        </w:tc>
        <w:tc>
          <w:tcPr>
            <w:tcW w:w="4140" w:type="dxa"/>
            <w:shd w:val="clear" w:color="auto" w:fill="auto"/>
          </w:tcPr>
          <w:p w:rsidR="00B80026" w:rsidRPr="00B80026" w:rsidRDefault="00B80026" w:rsidP="00CF2563">
            <w:pPr>
              <w:pStyle w:val="NormalWeb"/>
              <w:spacing w:before="0" w:beforeAutospacing="0" w:after="0" w:afterAutospacing="0"/>
              <w:jc w:val="both"/>
              <w:rPr>
                <w:rFonts w:asciiTheme="minorHAnsi" w:hAnsiTheme="minorHAnsi" w:cstheme="minorHAnsi"/>
                <w:b/>
                <w:sz w:val="18"/>
                <w:szCs w:val="18"/>
              </w:rPr>
            </w:pPr>
            <w:r w:rsidRPr="00B80026">
              <w:rPr>
                <w:rFonts w:asciiTheme="minorHAnsi" w:hAnsiTheme="minorHAnsi" w:cstheme="minorHAnsi"/>
                <w:b/>
                <w:i/>
                <w:iCs/>
                <w:sz w:val="18"/>
                <w:szCs w:val="18"/>
              </w:rPr>
              <w:t>Sample Size</w:t>
            </w:r>
          </w:p>
        </w:tc>
      </w:tr>
      <w:tr w:rsidR="00B80026" w:rsidRPr="00B80026" w:rsidTr="00CF2563">
        <w:tc>
          <w:tcPr>
            <w:tcW w:w="3960" w:type="dxa"/>
            <w:shd w:val="clear" w:color="auto" w:fill="auto"/>
          </w:tcPr>
          <w:p w:rsidR="00B80026" w:rsidRPr="00B80026" w:rsidRDefault="00B80026" w:rsidP="00CF2563">
            <w:pPr>
              <w:pStyle w:val="NormalWeb"/>
              <w:spacing w:before="0" w:beforeAutospacing="0" w:after="0" w:afterAutospacing="0"/>
              <w:jc w:val="both"/>
              <w:rPr>
                <w:rFonts w:asciiTheme="minorHAnsi" w:hAnsiTheme="minorHAnsi" w:cstheme="minorHAnsi"/>
                <w:sz w:val="18"/>
                <w:szCs w:val="18"/>
              </w:rPr>
            </w:pPr>
            <w:r w:rsidRPr="00B80026">
              <w:rPr>
                <w:rFonts w:asciiTheme="minorHAnsi" w:hAnsiTheme="minorHAnsi" w:cstheme="minorHAnsi"/>
                <w:sz w:val="18"/>
                <w:szCs w:val="18"/>
              </w:rPr>
              <w:t>Quarterly (4)</w:t>
            </w:r>
          </w:p>
        </w:tc>
        <w:tc>
          <w:tcPr>
            <w:tcW w:w="4140" w:type="dxa"/>
            <w:shd w:val="clear" w:color="auto" w:fill="auto"/>
          </w:tcPr>
          <w:p w:rsidR="00B80026" w:rsidRPr="00B80026" w:rsidRDefault="00B80026" w:rsidP="00CF2563">
            <w:pPr>
              <w:pStyle w:val="NormalWeb"/>
              <w:spacing w:before="0" w:beforeAutospacing="0" w:after="0" w:afterAutospacing="0"/>
              <w:jc w:val="both"/>
              <w:rPr>
                <w:rFonts w:asciiTheme="minorHAnsi" w:hAnsiTheme="minorHAnsi" w:cstheme="minorHAnsi"/>
                <w:sz w:val="18"/>
                <w:szCs w:val="18"/>
              </w:rPr>
            </w:pPr>
            <w:r w:rsidRPr="00B80026">
              <w:rPr>
                <w:rFonts w:asciiTheme="minorHAnsi" w:hAnsiTheme="minorHAnsi" w:cstheme="minorHAnsi"/>
                <w:sz w:val="18"/>
                <w:szCs w:val="18"/>
              </w:rPr>
              <w:t>2</w:t>
            </w:r>
          </w:p>
        </w:tc>
      </w:tr>
      <w:tr w:rsidR="00B80026" w:rsidRPr="00B80026" w:rsidTr="00CF2563">
        <w:tc>
          <w:tcPr>
            <w:tcW w:w="3960" w:type="dxa"/>
            <w:shd w:val="clear" w:color="auto" w:fill="auto"/>
          </w:tcPr>
          <w:p w:rsidR="00B80026" w:rsidRPr="00B80026" w:rsidRDefault="00B80026" w:rsidP="00CF2563">
            <w:pPr>
              <w:pStyle w:val="NormalWeb"/>
              <w:spacing w:before="0" w:beforeAutospacing="0" w:after="0" w:afterAutospacing="0"/>
              <w:jc w:val="both"/>
              <w:rPr>
                <w:rFonts w:asciiTheme="minorHAnsi" w:hAnsiTheme="minorHAnsi" w:cstheme="minorHAnsi"/>
                <w:sz w:val="18"/>
                <w:szCs w:val="18"/>
              </w:rPr>
            </w:pPr>
            <w:r w:rsidRPr="00B80026">
              <w:rPr>
                <w:rFonts w:asciiTheme="minorHAnsi" w:hAnsiTheme="minorHAnsi" w:cstheme="minorHAnsi"/>
                <w:sz w:val="18"/>
                <w:szCs w:val="18"/>
              </w:rPr>
              <w:t>Monthly (12)</w:t>
            </w:r>
          </w:p>
        </w:tc>
        <w:tc>
          <w:tcPr>
            <w:tcW w:w="4140" w:type="dxa"/>
            <w:shd w:val="clear" w:color="auto" w:fill="auto"/>
          </w:tcPr>
          <w:p w:rsidR="00B80026" w:rsidRPr="00B80026" w:rsidRDefault="00B80026" w:rsidP="00CF2563">
            <w:pPr>
              <w:pStyle w:val="NormalWeb"/>
              <w:spacing w:before="0" w:beforeAutospacing="0" w:after="0" w:afterAutospacing="0"/>
              <w:jc w:val="both"/>
              <w:rPr>
                <w:rFonts w:asciiTheme="minorHAnsi" w:hAnsiTheme="minorHAnsi" w:cstheme="minorHAnsi"/>
                <w:sz w:val="18"/>
                <w:szCs w:val="18"/>
              </w:rPr>
            </w:pPr>
            <w:r w:rsidRPr="00B80026">
              <w:rPr>
                <w:rFonts w:asciiTheme="minorHAnsi" w:hAnsiTheme="minorHAnsi" w:cstheme="minorHAnsi"/>
                <w:sz w:val="18"/>
                <w:szCs w:val="18"/>
              </w:rPr>
              <w:t>2 - 4</w:t>
            </w:r>
          </w:p>
        </w:tc>
      </w:tr>
      <w:tr w:rsidR="00B80026" w:rsidRPr="00B80026" w:rsidTr="00CF2563">
        <w:tc>
          <w:tcPr>
            <w:tcW w:w="3960" w:type="dxa"/>
            <w:shd w:val="clear" w:color="auto" w:fill="auto"/>
          </w:tcPr>
          <w:p w:rsidR="00B80026" w:rsidRPr="00B80026" w:rsidRDefault="00B80026" w:rsidP="00CF2563">
            <w:pPr>
              <w:pStyle w:val="NormalWeb"/>
              <w:spacing w:before="0" w:beforeAutospacing="0" w:after="0" w:afterAutospacing="0"/>
              <w:jc w:val="both"/>
              <w:rPr>
                <w:rFonts w:asciiTheme="minorHAnsi" w:hAnsiTheme="minorHAnsi" w:cstheme="minorHAnsi"/>
                <w:sz w:val="18"/>
                <w:szCs w:val="18"/>
              </w:rPr>
            </w:pPr>
            <w:r w:rsidRPr="00B80026">
              <w:rPr>
                <w:rFonts w:asciiTheme="minorHAnsi" w:hAnsiTheme="minorHAnsi" w:cstheme="minorHAnsi"/>
                <w:sz w:val="18"/>
                <w:szCs w:val="18"/>
              </w:rPr>
              <w:t>Semimonthly (24 )</w:t>
            </w:r>
          </w:p>
        </w:tc>
        <w:tc>
          <w:tcPr>
            <w:tcW w:w="4140" w:type="dxa"/>
            <w:shd w:val="clear" w:color="auto" w:fill="auto"/>
          </w:tcPr>
          <w:p w:rsidR="00B80026" w:rsidRPr="00B80026" w:rsidRDefault="00B80026" w:rsidP="00CF2563">
            <w:pPr>
              <w:pStyle w:val="NormalWeb"/>
              <w:spacing w:before="0" w:beforeAutospacing="0" w:after="0" w:afterAutospacing="0"/>
              <w:jc w:val="both"/>
              <w:rPr>
                <w:rFonts w:asciiTheme="minorHAnsi" w:hAnsiTheme="minorHAnsi" w:cstheme="minorHAnsi"/>
                <w:sz w:val="18"/>
                <w:szCs w:val="18"/>
              </w:rPr>
            </w:pPr>
            <w:r w:rsidRPr="00B80026">
              <w:rPr>
                <w:rFonts w:asciiTheme="minorHAnsi" w:hAnsiTheme="minorHAnsi" w:cstheme="minorHAnsi"/>
                <w:sz w:val="18"/>
                <w:szCs w:val="18"/>
              </w:rPr>
              <w:t>3 - 8</w:t>
            </w:r>
          </w:p>
        </w:tc>
      </w:tr>
      <w:tr w:rsidR="00B80026" w:rsidRPr="00B80026" w:rsidTr="00CF2563">
        <w:tc>
          <w:tcPr>
            <w:tcW w:w="3960" w:type="dxa"/>
            <w:shd w:val="clear" w:color="auto" w:fill="auto"/>
          </w:tcPr>
          <w:p w:rsidR="00B80026" w:rsidRPr="00B80026" w:rsidRDefault="00B80026" w:rsidP="00CF2563">
            <w:pPr>
              <w:pStyle w:val="NormalWeb"/>
              <w:spacing w:before="0" w:beforeAutospacing="0" w:after="0" w:afterAutospacing="0"/>
              <w:jc w:val="both"/>
              <w:rPr>
                <w:rFonts w:asciiTheme="minorHAnsi" w:hAnsiTheme="minorHAnsi" w:cstheme="minorHAnsi"/>
                <w:sz w:val="18"/>
                <w:szCs w:val="18"/>
              </w:rPr>
            </w:pPr>
            <w:r w:rsidRPr="00B80026">
              <w:rPr>
                <w:rFonts w:asciiTheme="minorHAnsi" w:hAnsiTheme="minorHAnsi" w:cstheme="minorHAnsi"/>
                <w:sz w:val="18"/>
                <w:szCs w:val="18"/>
              </w:rPr>
              <w:t>Weekly (52)</w:t>
            </w:r>
          </w:p>
        </w:tc>
        <w:tc>
          <w:tcPr>
            <w:tcW w:w="4140" w:type="dxa"/>
            <w:shd w:val="clear" w:color="auto" w:fill="auto"/>
          </w:tcPr>
          <w:p w:rsidR="00B80026" w:rsidRPr="00B80026" w:rsidRDefault="00B80026" w:rsidP="00CF2563">
            <w:pPr>
              <w:pStyle w:val="NormalWeb"/>
              <w:spacing w:before="0" w:beforeAutospacing="0" w:after="0" w:afterAutospacing="0"/>
              <w:jc w:val="both"/>
              <w:rPr>
                <w:rFonts w:asciiTheme="minorHAnsi" w:hAnsiTheme="minorHAnsi" w:cstheme="minorHAnsi"/>
                <w:sz w:val="18"/>
                <w:szCs w:val="18"/>
              </w:rPr>
            </w:pPr>
            <w:r w:rsidRPr="00B80026">
              <w:rPr>
                <w:rFonts w:asciiTheme="minorHAnsi" w:hAnsiTheme="minorHAnsi" w:cstheme="minorHAnsi"/>
                <w:sz w:val="18"/>
                <w:szCs w:val="18"/>
              </w:rPr>
              <w:t>5 - 9</w:t>
            </w:r>
          </w:p>
        </w:tc>
      </w:tr>
      <w:tr w:rsidR="00B80026" w:rsidRPr="00B80026" w:rsidTr="00CF2563">
        <w:tc>
          <w:tcPr>
            <w:tcW w:w="3960" w:type="dxa"/>
            <w:shd w:val="clear" w:color="auto" w:fill="auto"/>
          </w:tcPr>
          <w:p w:rsidR="00B80026" w:rsidRPr="00B80026" w:rsidRDefault="00B80026" w:rsidP="00CF2563">
            <w:pPr>
              <w:pStyle w:val="NormalWeb"/>
              <w:spacing w:before="0" w:beforeAutospacing="0" w:after="0" w:afterAutospacing="0"/>
              <w:jc w:val="both"/>
              <w:rPr>
                <w:rFonts w:asciiTheme="minorHAnsi" w:hAnsiTheme="minorHAnsi" w:cstheme="minorHAnsi"/>
                <w:sz w:val="18"/>
                <w:szCs w:val="18"/>
              </w:rPr>
            </w:pPr>
            <w:r w:rsidRPr="00B80026">
              <w:rPr>
                <w:rFonts w:asciiTheme="minorHAnsi" w:hAnsiTheme="minorHAnsi" w:cstheme="minorHAnsi"/>
                <w:sz w:val="18"/>
                <w:szCs w:val="18"/>
              </w:rPr>
              <w:t>between 52 and 250</w:t>
            </w:r>
          </w:p>
        </w:tc>
        <w:tc>
          <w:tcPr>
            <w:tcW w:w="4140" w:type="dxa"/>
            <w:shd w:val="clear" w:color="auto" w:fill="auto"/>
          </w:tcPr>
          <w:p w:rsidR="00B80026" w:rsidRPr="00B80026" w:rsidRDefault="00B80026" w:rsidP="00CF2563">
            <w:pPr>
              <w:pStyle w:val="NormalWeb"/>
              <w:spacing w:before="0" w:beforeAutospacing="0" w:after="0" w:afterAutospacing="0"/>
              <w:jc w:val="both"/>
              <w:rPr>
                <w:rFonts w:asciiTheme="minorHAnsi" w:hAnsiTheme="minorHAnsi" w:cstheme="minorHAnsi"/>
                <w:sz w:val="18"/>
                <w:szCs w:val="18"/>
              </w:rPr>
            </w:pPr>
            <w:r w:rsidRPr="00B80026">
              <w:rPr>
                <w:rFonts w:asciiTheme="minorHAnsi" w:hAnsiTheme="minorHAnsi" w:cstheme="minorHAnsi"/>
                <w:sz w:val="18"/>
                <w:szCs w:val="18"/>
              </w:rPr>
              <w:t>10 percent of the population*</w:t>
            </w:r>
          </w:p>
        </w:tc>
      </w:tr>
    </w:tbl>
    <w:p w:rsidR="00B80026" w:rsidRPr="00B80026" w:rsidRDefault="00B80026" w:rsidP="002535A1">
      <w:pPr>
        <w:pStyle w:val="NormalWeb"/>
        <w:spacing w:before="0" w:beforeAutospacing="0" w:after="0" w:afterAutospacing="0"/>
        <w:rPr>
          <w:rFonts w:asciiTheme="minorHAnsi" w:hAnsiTheme="minorHAnsi" w:cstheme="minorHAnsi"/>
          <w:sz w:val="22"/>
          <w:szCs w:val="22"/>
        </w:rPr>
      </w:pPr>
    </w:p>
    <w:p w:rsidR="00B80026" w:rsidRPr="002535A1" w:rsidRDefault="00B80026" w:rsidP="002535A1">
      <w:pPr>
        <w:pStyle w:val="NormalWeb"/>
        <w:spacing w:before="0" w:beforeAutospacing="0" w:after="0" w:afterAutospacing="0"/>
        <w:ind w:left="540"/>
        <w:rPr>
          <w:rFonts w:asciiTheme="minorHAnsi" w:hAnsiTheme="minorHAnsi" w:cstheme="minorHAnsi"/>
          <w:sz w:val="22"/>
          <w:szCs w:val="22"/>
        </w:rPr>
      </w:pPr>
      <w:r w:rsidRPr="00B80026">
        <w:rPr>
          <w:rFonts w:asciiTheme="minorHAnsi" w:hAnsiTheme="minorHAnsi" w:cstheme="minorHAnsi"/>
          <w:sz w:val="22"/>
          <w:szCs w:val="22"/>
        </w:rPr>
        <w:t>*</w:t>
      </w:r>
      <w:r w:rsidRPr="00B80026">
        <w:rPr>
          <w:rFonts w:asciiTheme="minorHAnsi" w:hAnsiTheme="minorHAnsi" w:cstheme="minorHAnsi"/>
          <w:i/>
          <w:sz w:val="22"/>
          <w:szCs w:val="22"/>
        </w:rPr>
        <w:t xml:space="preserve">A rule of thumb some auditors follow, but the sample size is subject to professional judgment. </w:t>
      </w:r>
    </w:p>
    <w:p w:rsidR="00B80026" w:rsidRPr="00B80026" w:rsidRDefault="00B80026" w:rsidP="002535A1">
      <w:pPr>
        <w:tabs>
          <w:tab w:val="left" w:pos="360"/>
        </w:tabs>
        <w:ind w:left="360" w:hanging="360"/>
        <w:rPr>
          <w:rFonts w:asciiTheme="minorHAnsi" w:hAnsiTheme="minorHAnsi" w:cstheme="minorHAnsi"/>
          <w:sz w:val="22"/>
          <w:szCs w:val="22"/>
        </w:rPr>
      </w:pPr>
    </w:p>
    <w:p w:rsidR="00B80026" w:rsidRPr="00B80026" w:rsidRDefault="00B80026" w:rsidP="002535A1">
      <w:pPr>
        <w:tabs>
          <w:tab w:val="left" w:pos="540"/>
        </w:tabs>
        <w:ind w:left="540" w:hanging="540"/>
        <w:rPr>
          <w:rFonts w:asciiTheme="minorHAnsi" w:hAnsiTheme="minorHAnsi" w:cstheme="minorHAnsi"/>
          <w:sz w:val="22"/>
          <w:szCs w:val="22"/>
        </w:rPr>
      </w:pPr>
      <w:r w:rsidRPr="00B80026">
        <w:rPr>
          <w:rFonts w:asciiTheme="minorHAnsi" w:hAnsiTheme="minorHAnsi" w:cstheme="minorHAnsi"/>
          <w:sz w:val="22"/>
          <w:szCs w:val="22"/>
        </w:rPr>
        <w:t>7.</w:t>
      </w:r>
      <w:r w:rsidRPr="00B80026">
        <w:rPr>
          <w:rFonts w:asciiTheme="minorHAnsi" w:hAnsiTheme="minorHAnsi" w:cstheme="minorHAnsi"/>
          <w:sz w:val="22"/>
          <w:szCs w:val="22"/>
        </w:rPr>
        <w:tab/>
        <w:t xml:space="preserve">Inquire of how receipts are tracked to determine if receipts journals are complete. </w:t>
      </w:r>
      <w:r w:rsidR="008953C4">
        <w:rPr>
          <w:rFonts w:asciiTheme="minorHAnsi" w:hAnsiTheme="minorHAnsi" w:cstheme="minorHAnsi"/>
          <w:sz w:val="22"/>
          <w:szCs w:val="22"/>
        </w:rPr>
        <w:t xml:space="preserve"> </w:t>
      </w:r>
      <w:r w:rsidRPr="00B80026">
        <w:rPr>
          <w:rFonts w:asciiTheme="minorHAnsi" w:hAnsiTheme="minorHAnsi" w:cstheme="minorHAnsi"/>
          <w:sz w:val="22"/>
          <w:szCs w:val="22"/>
        </w:rPr>
        <w:t>Determine total collections reflected in the receipts journal agrees to cash deposits shown on the bank statement for one month.</w:t>
      </w:r>
    </w:p>
    <w:p w:rsidR="00B80026" w:rsidRPr="00B80026" w:rsidRDefault="00B80026" w:rsidP="002535A1">
      <w:pPr>
        <w:tabs>
          <w:tab w:val="left" w:pos="360"/>
        </w:tabs>
        <w:rPr>
          <w:rFonts w:asciiTheme="minorHAnsi" w:hAnsiTheme="minorHAnsi" w:cstheme="minorHAnsi"/>
          <w:sz w:val="22"/>
          <w:szCs w:val="22"/>
        </w:rPr>
      </w:pPr>
    </w:p>
    <w:p w:rsidR="00B80026" w:rsidRPr="002535A1"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t>The purpose of the procedure is to determine, that for the month tested, that the amounts recorded in the receipts journal were deposited in the bank.</w:t>
      </w:r>
    </w:p>
    <w:p w:rsidR="00B80026" w:rsidRPr="00B80026" w:rsidRDefault="00B80026" w:rsidP="002535A1">
      <w:pPr>
        <w:tabs>
          <w:tab w:val="left" w:pos="360"/>
        </w:tabs>
        <w:rPr>
          <w:rFonts w:asciiTheme="minorHAnsi" w:hAnsiTheme="minorHAnsi" w:cstheme="minorHAnsi"/>
          <w:sz w:val="22"/>
          <w:szCs w:val="22"/>
        </w:rPr>
      </w:pPr>
    </w:p>
    <w:p w:rsidR="00B80026" w:rsidRPr="00B80026" w:rsidRDefault="00B80026" w:rsidP="002535A1">
      <w:pPr>
        <w:tabs>
          <w:tab w:val="left" w:pos="540"/>
        </w:tabs>
        <w:ind w:left="540" w:hanging="540"/>
        <w:rPr>
          <w:rFonts w:asciiTheme="minorHAnsi" w:hAnsiTheme="minorHAnsi" w:cstheme="minorHAnsi"/>
          <w:sz w:val="22"/>
          <w:szCs w:val="22"/>
        </w:rPr>
      </w:pPr>
      <w:r w:rsidRPr="00B80026">
        <w:rPr>
          <w:rFonts w:asciiTheme="minorHAnsi" w:hAnsiTheme="minorHAnsi" w:cstheme="minorHAnsi"/>
          <w:sz w:val="22"/>
          <w:szCs w:val="22"/>
        </w:rPr>
        <w:t>8.</w:t>
      </w:r>
      <w:r w:rsidRPr="00B80026">
        <w:rPr>
          <w:rFonts w:asciiTheme="minorHAnsi" w:hAnsiTheme="minorHAnsi" w:cstheme="minorHAnsi"/>
          <w:sz w:val="22"/>
          <w:szCs w:val="22"/>
        </w:rPr>
        <w:tab/>
        <w:t>Confirm checking and savings accounts and certificates of deposits and investment accounts on the general ledger as of December 31, 201X, with financial institutions.</w:t>
      </w:r>
    </w:p>
    <w:p w:rsidR="00B80026" w:rsidRPr="00B80026" w:rsidRDefault="00B80026" w:rsidP="002535A1">
      <w:pPr>
        <w:tabs>
          <w:tab w:val="left" w:pos="360"/>
        </w:tabs>
        <w:ind w:left="360" w:hanging="360"/>
        <w:rPr>
          <w:rFonts w:asciiTheme="minorHAnsi" w:hAnsiTheme="minorHAnsi" w:cstheme="minorHAnsi"/>
          <w:sz w:val="22"/>
          <w:szCs w:val="22"/>
        </w:rPr>
      </w:pPr>
    </w:p>
    <w:p w:rsidR="00B80026" w:rsidRPr="002535A1"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t>Use professional judgment in deciding whether to confirm some or all of the accounts.  Confirmations can also be used to identify other accounts using the entity’s employer identification number (EIN).</w:t>
      </w:r>
    </w:p>
    <w:p w:rsidR="00B80026" w:rsidRPr="00B80026" w:rsidRDefault="00B80026" w:rsidP="002535A1">
      <w:pPr>
        <w:tabs>
          <w:tab w:val="left" w:pos="360"/>
        </w:tabs>
        <w:ind w:left="360" w:hanging="360"/>
        <w:rPr>
          <w:rFonts w:asciiTheme="minorHAnsi" w:hAnsiTheme="minorHAnsi" w:cstheme="minorHAnsi"/>
          <w:sz w:val="22"/>
          <w:szCs w:val="22"/>
        </w:rPr>
      </w:pPr>
    </w:p>
    <w:p w:rsidR="00B80026" w:rsidRPr="00B80026" w:rsidRDefault="00B80026" w:rsidP="002535A1">
      <w:pPr>
        <w:tabs>
          <w:tab w:val="left" w:pos="540"/>
        </w:tabs>
        <w:ind w:left="540" w:hanging="540"/>
        <w:rPr>
          <w:rFonts w:asciiTheme="minorHAnsi" w:hAnsiTheme="minorHAnsi" w:cstheme="minorHAnsi"/>
          <w:sz w:val="22"/>
          <w:szCs w:val="22"/>
        </w:rPr>
      </w:pPr>
      <w:r w:rsidRPr="00B80026">
        <w:rPr>
          <w:rFonts w:asciiTheme="minorHAnsi" w:hAnsiTheme="minorHAnsi" w:cstheme="minorHAnsi"/>
          <w:sz w:val="22"/>
          <w:szCs w:val="22"/>
        </w:rPr>
        <w:t>9.</w:t>
      </w:r>
      <w:r w:rsidRPr="00B80026">
        <w:rPr>
          <w:rFonts w:asciiTheme="minorHAnsi" w:hAnsiTheme="minorHAnsi" w:cstheme="minorHAnsi"/>
          <w:sz w:val="22"/>
          <w:szCs w:val="22"/>
        </w:rPr>
        <w:tab/>
        <w:t>Verify with _____ County the amount of property tax receipts distributed to the [entity] for the year ended December 31, 201X, and compare to amounts recorded in the general ledger.</w:t>
      </w:r>
    </w:p>
    <w:p w:rsidR="00B80026" w:rsidRPr="00B80026" w:rsidRDefault="00B80026" w:rsidP="002535A1">
      <w:pPr>
        <w:tabs>
          <w:tab w:val="left" w:pos="360"/>
        </w:tabs>
        <w:ind w:left="360" w:hanging="360"/>
        <w:rPr>
          <w:rFonts w:asciiTheme="minorHAnsi" w:hAnsiTheme="minorHAnsi" w:cstheme="minorHAnsi"/>
          <w:sz w:val="22"/>
          <w:szCs w:val="22"/>
        </w:rPr>
      </w:pPr>
    </w:p>
    <w:p w:rsidR="00B80026" w:rsidRPr="002535A1"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t>Procedure is not applicable if no property tax revenues.  The audit practitioner also can confirm special assessments collected by the county.</w:t>
      </w:r>
    </w:p>
    <w:p w:rsidR="00B80026" w:rsidRPr="00B80026" w:rsidRDefault="00B80026" w:rsidP="002535A1">
      <w:pPr>
        <w:tabs>
          <w:tab w:val="left" w:pos="360"/>
        </w:tabs>
        <w:ind w:left="360" w:hanging="360"/>
        <w:rPr>
          <w:rFonts w:asciiTheme="minorHAnsi" w:hAnsiTheme="minorHAnsi" w:cstheme="minorHAnsi"/>
          <w:sz w:val="22"/>
          <w:szCs w:val="22"/>
        </w:rPr>
      </w:pPr>
    </w:p>
    <w:p w:rsidR="00B80026" w:rsidRPr="00B80026" w:rsidRDefault="00B80026" w:rsidP="002535A1">
      <w:pPr>
        <w:tabs>
          <w:tab w:val="left" w:pos="540"/>
        </w:tabs>
        <w:ind w:left="540" w:hanging="540"/>
        <w:rPr>
          <w:rFonts w:asciiTheme="minorHAnsi" w:hAnsiTheme="minorHAnsi" w:cstheme="minorHAnsi"/>
          <w:sz w:val="22"/>
          <w:szCs w:val="22"/>
        </w:rPr>
      </w:pPr>
      <w:r w:rsidRPr="00B80026">
        <w:rPr>
          <w:rFonts w:asciiTheme="minorHAnsi" w:hAnsiTheme="minorHAnsi" w:cstheme="minorHAnsi"/>
          <w:sz w:val="22"/>
          <w:szCs w:val="22"/>
        </w:rPr>
        <w:t>10.</w:t>
      </w:r>
      <w:r w:rsidRPr="00B80026">
        <w:rPr>
          <w:rFonts w:asciiTheme="minorHAnsi" w:hAnsiTheme="minorHAnsi" w:cstheme="minorHAnsi"/>
          <w:sz w:val="22"/>
          <w:szCs w:val="22"/>
        </w:rPr>
        <w:tab/>
        <w:t>Determine that the [entity] had non-routine journal entries, such as adjustments or reclassifications, posted to the general ledger.  Inspect individually significant items for the following attributes:  (a) journal entries are reasonable and have supporting documentation; and (b) the [entity] has procedures that require journal entries to be reviewed, and there is evidence the reviews are being performed.</w:t>
      </w:r>
    </w:p>
    <w:p w:rsidR="00B80026" w:rsidRPr="00B80026" w:rsidRDefault="00B80026" w:rsidP="002535A1">
      <w:pPr>
        <w:tabs>
          <w:tab w:val="left" w:pos="360"/>
        </w:tabs>
        <w:ind w:left="360" w:hanging="360"/>
        <w:rPr>
          <w:rFonts w:asciiTheme="minorHAnsi" w:hAnsiTheme="minorHAnsi" w:cstheme="minorHAnsi"/>
          <w:sz w:val="22"/>
          <w:szCs w:val="22"/>
        </w:rPr>
      </w:pPr>
    </w:p>
    <w:p w:rsidR="00B80026" w:rsidRPr="002535A1"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t>Generally, most small entities will not record a large number of journal entries, if any.  Therefore, this procedure will not be applicable in a number of cases.  The same sample size guidance discussed in step 6 can be used as a guide.</w:t>
      </w:r>
    </w:p>
    <w:p w:rsidR="00B80026" w:rsidRPr="00B80026" w:rsidRDefault="00B80026" w:rsidP="002535A1">
      <w:pPr>
        <w:tabs>
          <w:tab w:val="left" w:pos="360"/>
        </w:tabs>
        <w:rPr>
          <w:rFonts w:asciiTheme="minorHAnsi" w:hAnsiTheme="minorHAnsi" w:cstheme="minorHAnsi"/>
          <w:sz w:val="22"/>
          <w:szCs w:val="22"/>
        </w:rPr>
      </w:pPr>
    </w:p>
    <w:p w:rsidR="00B80026" w:rsidRPr="00B80026" w:rsidRDefault="00B80026" w:rsidP="002535A1">
      <w:pPr>
        <w:tabs>
          <w:tab w:val="left" w:pos="540"/>
        </w:tabs>
        <w:ind w:left="540" w:hanging="540"/>
        <w:rPr>
          <w:rFonts w:asciiTheme="minorHAnsi" w:hAnsiTheme="minorHAnsi" w:cstheme="minorHAnsi"/>
          <w:sz w:val="22"/>
          <w:szCs w:val="22"/>
        </w:rPr>
      </w:pPr>
      <w:r w:rsidRPr="00B80026">
        <w:rPr>
          <w:rFonts w:asciiTheme="minorHAnsi" w:hAnsiTheme="minorHAnsi" w:cstheme="minorHAnsi"/>
          <w:sz w:val="22"/>
          <w:szCs w:val="22"/>
        </w:rPr>
        <w:t>11.</w:t>
      </w:r>
      <w:r w:rsidRPr="00B80026">
        <w:rPr>
          <w:rFonts w:asciiTheme="minorHAnsi" w:hAnsiTheme="minorHAnsi" w:cstheme="minorHAnsi"/>
          <w:sz w:val="22"/>
          <w:szCs w:val="22"/>
        </w:rPr>
        <w:tab/>
        <w:t>Determine whether there are sufficient records on hand to document the wages paid to employees.  For a sample of two payroll checks for each of five employees, determine the employee’s hours worked per the payroll register agrees to the employee’s time sheet, and the pay rate agrees to the personnel file or approved wage schedule.  Verify payment date is subsequent to the pay period.</w:t>
      </w:r>
    </w:p>
    <w:p w:rsidR="00B80026" w:rsidRDefault="00B80026" w:rsidP="002535A1">
      <w:pPr>
        <w:tabs>
          <w:tab w:val="left" w:pos="360"/>
        </w:tabs>
        <w:ind w:left="360" w:hanging="360"/>
        <w:rPr>
          <w:rFonts w:asciiTheme="minorHAnsi" w:hAnsiTheme="minorHAnsi" w:cstheme="minorHAnsi"/>
          <w:sz w:val="22"/>
          <w:szCs w:val="22"/>
        </w:rPr>
      </w:pPr>
    </w:p>
    <w:p w:rsidR="00B80026" w:rsidRDefault="00B80026" w:rsidP="002535A1">
      <w:pPr>
        <w:rPr>
          <w:rFonts w:asciiTheme="minorHAnsi" w:hAnsiTheme="minorHAnsi" w:cstheme="minorHAnsi"/>
          <w:sz w:val="22"/>
          <w:szCs w:val="22"/>
        </w:rPr>
      </w:pPr>
      <w:r>
        <w:rPr>
          <w:rFonts w:asciiTheme="minorHAnsi" w:hAnsiTheme="minorHAnsi" w:cstheme="minorHAnsi"/>
          <w:sz w:val="22"/>
          <w:szCs w:val="22"/>
        </w:rPr>
        <w:br w:type="page"/>
      </w:r>
    </w:p>
    <w:p w:rsidR="00B80026" w:rsidRPr="008953C4"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lastRenderedPageBreak/>
        <w:t xml:space="preserve">Since payroll expenditures can be a large portion of a governmental entity’s expenditures, records should be adequate to document who was paid, for what, and how much.  For small entities with fewer than 5 employees or non-standard payroll periods, the auditor should adjust the sample size as necessary. </w:t>
      </w:r>
    </w:p>
    <w:p w:rsidR="00B80026" w:rsidRPr="00B80026" w:rsidRDefault="00B80026" w:rsidP="002535A1">
      <w:pPr>
        <w:tabs>
          <w:tab w:val="left" w:pos="360"/>
        </w:tabs>
        <w:rPr>
          <w:rFonts w:asciiTheme="minorHAnsi" w:hAnsiTheme="minorHAnsi" w:cstheme="minorHAnsi"/>
          <w:sz w:val="22"/>
          <w:szCs w:val="22"/>
        </w:rPr>
      </w:pPr>
    </w:p>
    <w:p w:rsidR="00B80026" w:rsidRPr="00B80026" w:rsidRDefault="00B80026" w:rsidP="002535A1">
      <w:pPr>
        <w:tabs>
          <w:tab w:val="left" w:pos="540"/>
        </w:tabs>
        <w:ind w:left="540" w:hanging="540"/>
        <w:rPr>
          <w:rFonts w:asciiTheme="minorHAnsi" w:hAnsiTheme="minorHAnsi" w:cstheme="minorHAnsi"/>
          <w:sz w:val="22"/>
          <w:szCs w:val="22"/>
        </w:rPr>
      </w:pPr>
      <w:r w:rsidRPr="00B80026">
        <w:rPr>
          <w:rFonts w:asciiTheme="minorHAnsi" w:hAnsiTheme="minorHAnsi" w:cstheme="minorHAnsi"/>
          <w:sz w:val="22"/>
          <w:szCs w:val="22"/>
        </w:rPr>
        <w:t>12.</w:t>
      </w:r>
      <w:r w:rsidRPr="00B80026">
        <w:rPr>
          <w:rFonts w:asciiTheme="minorHAnsi" w:hAnsiTheme="minorHAnsi" w:cstheme="minorHAnsi"/>
          <w:sz w:val="22"/>
          <w:szCs w:val="22"/>
        </w:rPr>
        <w:tab/>
        <w:t>Obtain quarterly reports on salary withholdings and determine if they are filed in a timely manner with the state and federal governments.</w:t>
      </w:r>
    </w:p>
    <w:p w:rsidR="00B80026" w:rsidRPr="00B80026" w:rsidRDefault="00B80026" w:rsidP="002535A1">
      <w:pPr>
        <w:tabs>
          <w:tab w:val="left" w:pos="360"/>
        </w:tabs>
        <w:ind w:left="360" w:hanging="360"/>
        <w:rPr>
          <w:rFonts w:asciiTheme="minorHAnsi" w:hAnsiTheme="minorHAnsi" w:cstheme="minorHAnsi"/>
          <w:sz w:val="22"/>
          <w:szCs w:val="22"/>
        </w:rPr>
      </w:pPr>
    </w:p>
    <w:p w:rsidR="00B80026" w:rsidRPr="008953C4"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t>The purpose of this procedure is to alert the entity of issues that may exist should the entity not be current or not properly filing withholding and, thus, being subject to potential penalties.</w:t>
      </w:r>
    </w:p>
    <w:p w:rsidR="00B80026" w:rsidRPr="00B80026" w:rsidRDefault="00B80026" w:rsidP="002535A1">
      <w:pPr>
        <w:tabs>
          <w:tab w:val="left" w:pos="360"/>
        </w:tabs>
        <w:rPr>
          <w:rFonts w:asciiTheme="minorHAnsi" w:hAnsiTheme="minorHAnsi" w:cstheme="minorHAnsi"/>
          <w:sz w:val="22"/>
          <w:szCs w:val="22"/>
        </w:rPr>
      </w:pPr>
    </w:p>
    <w:p w:rsidR="00B80026" w:rsidRPr="00B80026" w:rsidRDefault="00B80026" w:rsidP="002535A1">
      <w:pPr>
        <w:tabs>
          <w:tab w:val="left" w:pos="540"/>
        </w:tabs>
        <w:ind w:left="540" w:hanging="540"/>
        <w:rPr>
          <w:rFonts w:asciiTheme="minorHAnsi" w:hAnsiTheme="minorHAnsi" w:cstheme="minorHAnsi"/>
          <w:sz w:val="22"/>
          <w:szCs w:val="22"/>
        </w:rPr>
      </w:pPr>
      <w:r w:rsidRPr="00B80026">
        <w:rPr>
          <w:rFonts w:asciiTheme="minorHAnsi" w:hAnsiTheme="minorHAnsi" w:cstheme="minorHAnsi"/>
          <w:sz w:val="22"/>
          <w:szCs w:val="22"/>
        </w:rPr>
        <w:t>13.</w:t>
      </w:r>
      <w:r w:rsidRPr="00B80026">
        <w:rPr>
          <w:rFonts w:asciiTheme="minorHAnsi" w:hAnsiTheme="minorHAnsi" w:cstheme="minorHAnsi"/>
          <w:sz w:val="22"/>
          <w:szCs w:val="22"/>
        </w:rPr>
        <w:tab/>
        <w:t>Inquire of management, view, and determine if adequate records are kept for land, buildings, and equipment owned by the [entity].</w:t>
      </w:r>
    </w:p>
    <w:p w:rsidR="00B80026" w:rsidRPr="00B80026" w:rsidRDefault="00B80026" w:rsidP="002535A1">
      <w:pPr>
        <w:tabs>
          <w:tab w:val="left" w:pos="360"/>
        </w:tabs>
        <w:ind w:left="360" w:hanging="360"/>
        <w:rPr>
          <w:rFonts w:asciiTheme="minorHAnsi" w:hAnsiTheme="minorHAnsi" w:cstheme="minorHAnsi"/>
          <w:sz w:val="22"/>
          <w:szCs w:val="22"/>
        </w:rPr>
      </w:pPr>
    </w:p>
    <w:p w:rsidR="00B80026" w:rsidRPr="008953C4"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t>If the entity has significant capital assets, the audit practitioner should determine if the entity is maintaining acceptable records for those assets.</w:t>
      </w:r>
    </w:p>
    <w:p w:rsidR="00B80026" w:rsidRPr="00B80026" w:rsidRDefault="00B80026" w:rsidP="002535A1">
      <w:pPr>
        <w:tabs>
          <w:tab w:val="left" w:pos="360"/>
        </w:tabs>
        <w:rPr>
          <w:rFonts w:asciiTheme="minorHAnsi" w:hAnsiTheme="minorHAnsi" w:cstheme="minorHAnsi"/>
          <w:sz w:val="22"/>
          <w:szCs w:val="22"/>
        </w:rPr>
      </w:pPr>
    </w:p>
    <w:p w:rsidR="00B80026" w:rsidRPr="00B80026" w:rsidRDefault="00B80026" w:rsidP="002535A1">
      <w:pPr>
        <w:tabs>
          <w:tab w:val="left" w:pos="540"/>
        </w:tabs>
        <w:ind w:left="540" w:hanging="540"/>
        <w:rPr>
          <w:rFonts w:asciiTheme="minorHAnsi" w:hAnsiTheme="minorHAnsi" w:cstheme="minorHAnsi"/>
          <w:sz w:val="22"/>
          <w:szCs w:val="22"/>
        </w:rPr>
      </w:pPr>
      <w:r w:rsidRPr="00B80026">
        <w:rPr>
          <w:rFonts w:asciiTheme="minorHAnsi" w:hAnsiTheme="minorHAnsi" w:cstheme="minorHAnsi"/>
          <w:sz w:val="22"/>
          <w:szCs w:val="22"/>
        </w:rPr>
        <w:t>14.</w:t>
      </w:r>
      <w:r w:rsidRPr="00B80026">
        <w:rPr>
          <w:rFonts w:asciiTheme="minorHAnsi" w:hAnsiTheme="minorHAnsi" w:cstheme="minorHAnsi"/>
          <w:sz w:val="22"/>
          <w:szCs w:val="22"/>
        </w:rPr>
        <w:tab/>
        <w:t>Inquire of management and determine if the [entity] has outstanding debt and, if appropriate, agree the scheduled payments to disbursements reflected in the monthly bank statement.</w:t>
      </w:r>
    </w:p>
    <w:p w:rsidR="00B80026" w:rsidRPr="00B80026" w:rsidRDefault="00B80026" w:rsidP="002535A1">
      <w:pPr>
        <w:tabs>
          <w:tab w:val="left" w:pos="360"/>
        </w:tabs>
        <w:ind w:left="360" w:hanging="360"/>
        <w:rPr>
          <w:rFonts w:asciiTheme="minorHAnsi" w:hAnsiTheme="minorHAnsi" w:cstheme="minorHAnsi"/>
          <w:sz w:val="22"/>
          <w:szCs w:val="22"/>
        </w:rPr>
      </w:pPr>
    </w:p>
    <w:p w:rsidR="00B80026" w:rsidRPr="008953C4"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t>The audit practitioner should review records to determine if accurate debt records are maintained.</w:t>
      </w:r>
    </w:p>
    <w:p w:rsidR="00B80026" w:rsidRPr="00B80026" w:rsidRDefault="00B80026" w:rsidP="002535A1">
      <w:pPr>
        <w:rPr>
          <w:rFonts w:asciiTheme="minorHAnsi" w:hAnsiTheme="minorHAnsi" w:cstheme="minorHAnsi"/>
          <w:sz w:val="22"/>
          <w:szCs w:val="22"/>
        </w:rPr>
      </w:pPr>
    </w:p>
    <w:p w:rsidR="00B80026" w:rsidRPr="00B80026" w:rsidRDefault="00B80026" w:rsidP="002535A1">
      <w:pPr>
        <w:rPr>
          <w:rFonts w:asciiTheme="minorHAnsi" w:hAnsiTheme="minorHAnsi" w:cstheme="minorHAnsi"/>
          <w:sz w:val="22"/>
          <w:szCs w:val="22"/>
          <w:u w:val="single"/>
        </w:rPr>
      </w:pPr>
      <w:r w:rsidRPr="00B80026">
        <w:rPr>
          <w:rFonts w:asciiTheme="minorHAnsi" w:hAnsiTheme="minorHAnsi" w:cstheme="minorHAnsi"/>
          <w:sz w:val="22"/>
          <w:szCs w:val="22"/>
          <w:u w:val="single"/>
        </w:rPr>
        <w:t>Compliance</w:t>
      </w:r>
    </w:p>
    <w:p w:rsidR="00B80026" w:rsidRPr="00B80026" w:rsidRDefault="00B80026" w:rsidP="002535A1">
      <w:pPr>
        <w:rPr>
          <w:rFonts w:asciiTheme="minorHAnsi" w:hAnsiTheme="minorHAnsi" w:cstheme="minorHAnsi"/>
          <w:sz w:val="22"/>
          <w:szCs w:val="22"/>
        </w:rPr>
      </w:pPr>
    </w:p>
    <w:p w:rsidR="00B80026" w:rsidRPr="00B80026" w:rsidRDefault="00B80026" w:rsidP="002535A1">
      <w:pPr>
        <w:rPr>
          <w:rFonts w:asciiTheme="minorHAnsi" w:hAnsiTheme="minorHAnsi" w:cstheme="minorHAnsi"/>
          <w:sz w:val="22"/>
          <w:szCs w:val="22"/>
        </w:rPr>
      </w:pPr>
      <w:r w:rsidRPr="00B80026">
        <w:rPr>
          <w:rFonts w:asciiTheme="minorHAnsi" w:hAnsiTheme="minorHAnsi" w:cstheme="minorHAnsi"/>
          <w:sz w:val="22"/>
          <w:szCs w:val="22"/>
        </w:rPr>
        <w:t>Our procedures regarding compliance matters are as follows:</w:t>
      </w:r>
    </w:p>
    <w:p w:rsidR="00B80026" w:rsidRPr="00B80026" w:rsidRDefault="00B80026" w:rsidP="002535A1">
      <w:pPr>
        <w:rPr>
          <w:rFonts w:asciiTheme="minorHAnsi" w:hAnsiTheme="minorHAnsi" w:cstheme="minorHAnsi"/>
          <w:sz w:val="22"/>
          <w:szCs w:val="22"/>
        </w:rPr>
      </w:pPr>
    </w:p>
    <w:p w:rsidR="00B80026" w:rsidRPr="00B80026" w:rsidRDefault="00B80026" w:rsidP="002535A1">
      <w:pPr>
        <w:tabs>
          <w:tab w:val="left" w:pos="540"/>
        </w:tabs>
        <w:ind w:left="540" w:hanging="540"/>
        <w:rPr>
          <w:rFonts w:asciiTheme="minorHAnsi" w:hAnsiTheme="minorHAnsi" w:cstheme="minorHAnsi"/>
          <w:sz w:val="22"/>
          <w:szCs w:val="22"/>
        </w:rPr>
      </w:pPr>
      <w:r w:rsidRPr="00B80026">
        <w:rPr>
          <w:rFonts w:asciiTheme="minorHAnsi" w:hAnsiTheme="minorHAnsi" w:cstheme="minorHAnsi"/>
          <w:sz w:val="22"/>
          <w:szCs w:val="22"/>
        </w:rPr>
        <w:t>1.</w:t>
      </w:r>
      <w:r w:rsidRPr="00B80026">
        <w:rPr>
          <w:rFonts w:asciiTheme="minorHAnsi" w:hAnsiTheme="minorHAnsi" w:cstheme="minorHAnsi"/>
          <w:sz w:val="22"/>
          <w:szCs w:val="22"/>
        </w:rPr>
        <w:tab/>
        <w:t>Determine that the [entity] is current with filing its annual reporting forms to the Office of the State Auditor and that the amounts reported reflect the amounts recorded in the [entity]’s records.</w:t>
      </w:r>
    </w:p>
    <w:p w:rsidR="00B80026" w:rsidRPr="00B80026" w:rsidRDefault="00B80026" w:rsidP="002535A1">
      <w:pPr>
        <w:tabs>
          <w:tab w:val="left" w:pos="360"/>
        </w:tabs>
        <w:ind w:left="360" w:hanging="360"/>
        <w:rPr>
          <w:rFonts w:asciiTheme="minorHAnsi" w:hAnsiTheme="minorHAnsi" w:cstheme="minorHAnsi"/>
          <w:sz w:val="22"/>
          <w:szCs w:val="22"/>
        </w:rPr>
      </w:pPr>
    </w:p>
    <w:p w:rsidR="00B80026" w:rsidRPr="008953C4"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t>The audit practitioner may be asked to assist in filing the annual reporting form.</w:t>
      </w:r>
    </w:p>
    <w:p w:rsidR="00B80026" w:rsidRPr="00B80026" w:rsidRDefault="00B80026" w:rsidP="002535A1">
      <w:pPr>
        <w:tabs>
          <w:tab w:val="left" w:pos="360"/>
        </w:tabs>
        <w:ind w:left="360" w:hanging="360"/>
        <w:rPr>
          <w:rFonts w:asciiTheme="minorHAnsi" w:hAnsiTheme="minorHAnsi" w:cstheme="minorHAnsi"/>
          <w:sz w:val="22"/>
          <w:szCs w:val="22"/>
        </w:rPr>
      </w:pPr>
    </w:p>
    <w:p w:rsidR="00B80026" w:rsidRPr="00B80026" w:rsidRDefault="00B80026" w:rsidP="002535A1">
      <w:pPr>
        <w:tabs>
          <w:tab w:val="left" w:pos="540"/>
        </w:tabs>
        <w:ind w:left="540" w:hanging="540"/>
        <w:rPr>
          <w:rFonts w:asciiTheme="minorHAnsi" w:hAnsiTheme="minorHAnsi" w:cstheme="minorHAnsi"/>
          <w:sz w:val="22"/>
          <w:szCs w:val="22"/>
        </w:rPr>
      </w:pPr>
      <w:r w:rsidRPr="00B80026">
        <w:rPr>
          <w:rFonts w:asciiTheme="minorHAnsi" w:hAnsiTheme="minorHAnsi" w:cstheme="minorHAnsi"/>
          <w:sz w:val="22"/>
          <w:szCs w:val="22"/>
        </w:rPr>
        <w:t>2.</w:t>
      </w:r>
      <w:r w:rsidRPr="00B80026">
        <w:rPr>
          <w:rFonts w:asciiTheme="minorHAnsi" w:hAnsiTheme="minorHAnsi" w:cstheme="minorHAnsi"/>
          <w:sz w:val="22"/>
          <w:szCs w:val="22"/>
        </w:rPr>
        <w:tab/>
        <w:t xml:space="preserve">Complete the following checklists of the </w:t>
      </w:r>
      <w:r w:rsidRPr="00B80026">
        <w:rPr>
          <w:rFonts w:asciiTheme="minorHAnsi" w:hAnsiTheme="minorHAnsi" w:cstheme="minorHAnsi"/>
          <w:i/>
          <w:sz w:val="22"/>
          <w:szCs w:val="22"/>
        </w:rPr>
        <w:t>Minnesota Legal Compliance Audit Guide for Cities/Towns/Other Political Subdivisions</w:t>
      </w:r>
      <w:r w:rsidRPr="00B80026">
        <w:rPr>
          <w:rFonts w:asciiTheme="minorHAnsi" w:hAnsiTheme="minorHAnsi" w:cstheme="minorHAnsi"/>
          <w:sz w:val="22"/>
          <w:szCs w:val="22"/>
        </w:rPr>
        <w:t xml:space="preserve"> for the [entity]:</w:t>
      </w:r>
    </w:p>
    <w:p w:rsidR="00B80026" w:rsidRPr="00B80026" w:rsidRDefault="00B80026" w:rsidP="002535A1">
      <w:pPr>
        <w:tabs>
          <w:tab w:val="left" w:pos="360"/>
        </w:tabs>
        <w:rPr>
          <w:rFonts w:asciiTheme="minorHAnsi" w:hAnsiTheme="minorHAnsi" w:cstheme="minorHAnsi"/>
          <w:sz w:val="22"/>
          <w:szCs w:val="22"/>
        </w:rPr>
      </w:pPr>
    </w:p>
    <w:p w:rsidR="00B80026" w:rsidRPr="008953C4" w:rsidRDefault="00B80026" w:rsidP="002535A1">
      <w:pPr>
        <w:tabs>
          <w:tab w:val="left" w:pos="540"/>
        </w:tabs>
        <w:ind w:left="540"/>
        <w:rPr>
          <w:rFonts w:asciiTheme="minorHAnsi" w:hAnsiTheme="minorHAnsi" w:cstheme="minorHAnsi"/>
          <w:sz w:val="22"/>
          <w:szCs w:val="22"/>
        </w:rPr>
      </w:pPr>
      <w:r w:rsidRPr="00B80026">
        <w:rPr>
          <w:rFonts w:asciiTheme="minorHAnsi" w:hAnsiTheme="minorHAnsi" w:cstheme="minorHAnsi"/>
          <w:i/>
          <w:sz w:val="22"/>
          <w:szCs w:val="22"/>
        </w:rPr>
        <w:t>The Minnesota Legal Compliance Audit Guide for Cities/Towns/Other Political Subdivisions checklists should be completed for each applicable section.  If a section is not applicable to the entity, the reason should be identified.</w:t>
      </w:r>
    </w:p>
    <w:p w:rsidR="00B80026" w:rsidRPr="00B80026" w:rsidRDefault="00B80026" w:rsidP="002535A1">
      <w:pPr>
        <w:tabs>
          <w:tab w:val="left" w:pos="360"/>
        </w:tabs>
        <w:ind w:left="360"/>
        <w:rPr>
          <w:rFonts w:asciiTheme="minorHAnsi" w:hAnsiTheme="minorHAnsi" w:cstheme="minorHAnsi"/>
          <w:sz w:val="22"/>
          <w:szCs w:val="22"/>
        </w:rPr>
      </w:pPr>
    </w:p>
    <w:p w:rsidR="00B80026" w:rsidRPr="00B80026" w:rsidRDefault="00B80026" w:rsidP="002535A1">
      <w:pPr>
        <w:tabs>
          <w:tab w:val="left" w:pos="1080"/>
        </w:tabs>
        <w:ind w:left="1080" w:hanging="540"/>
        <w:rPr>
          <w:rFonts w:asciiTheme="minorHAnsi" w:hAnsiTheme="minorHAnsi" w:cstheme="minorHAnsi"/>
          <w:sz w:val="22"/>
          <w:szCs w:val="22"/>
        </w:rPr>
      </w:pPr>
      <w:r w:rsidRPr="00B80026">
        <w:rPr>
          <w:rFonts w:asciiTheme="minorHAnsi" w:hAnsiTheme="minorHAnsi" w:cstheme="minorHAnsi"/>
          <w:sz w:val="22"/>
          <w:szCs w:val="22"/>
        </w:rPr>
        <w:t>(a)</w:t>
      </w:r>
      <w:r w:rsidRPr="00B80026">
        <w:rPr>
          <w:rFonts w:asciiTheme="minorHAnsi" w:hAnsiTheme="minorHAnsi" w:cstheme="minorHAnsi"/>
          <w:sz w:val="22"/>
          <w:szCs w:val="22"/>
        </w:rPr>
        <w:tab/>
        <w:t>Depositories of Public Funds and Public Investments</w:t>
      </w:r>
    </w:p>
    <w:p w:rsidR="00B80026" w:rsidRPr="00B80026" w:rsidRDefault="00B80026" w:rsidP="002535A1">
      <w:pPr>
        <w:tabs>
          <w:tab w:val="left" w:pos="720"/>
        </w:tabs>
        <w:ind w:left="720" w:hanging="360"/>
        <w:rPr>
          <w:rFonts w:asciiTheme="minorHAnsi" w:hAnsiTheme="minorHAnsi" w:cstheme="minorHAnsi"/>
          <w:sz w:val="22"/>
          <w:szCs w:val="22"/>
        </w:rPr>
      </w:pPr>
    </w:p>
    <w:p w:rsidR="00B80026" w:rsidRPr="00B80026" w:rsidRDefault="00B80026" w:rsidP="002535A1">
      <w:pPr>
        <w:tabs>
          <w:tab w:val="left" w:pos="1080"/>
        </w:tabs>
        <w:ind w:left="1080" w:hanging="540"/>
        <w:rPr>
          <w:rFonts w:asciiTheme="minorHAnsi" w:hAnsiTheme="minorHAnsi" w:cstheme="minorHAnsi"/>
          <w:sz w:val="22"/>
          <w:szCs w:val="22"/>
        </w:rPr>
      </w:pPr>
      <w:r w:rsidRPr="00B80026">
        <w:rPr>
          <w:rFonts w:asciiTheme="minorHAnsi" w:hAnsiTheme="minorHAnsi" w:cstheme="minorHAnsi"/>
          <w:sz w:val="22"/>
          <w:szCs w:val="22"/>
        </w:rPr>
        <w:t>(b)</w:t>
      </w:r>
      <w:r w:rsidRPr="00B80026">
        <w:rPr>
          <w:rFonts w:asciiTheme="minorHAnsi" w:hAnsiTheme="minorHAnsi" w:cstheme="minorHAnsi"/>
          <w:sz w:val="22"/>
          <w:szCs w:val="22"/>
        </w:rPr>
        <w:tab/>
        <w:t>Conflicts of Interest</w:t>
      </w:r>
    </w:p>
    <w:p w:rsidR="00B80026" w:rsidRPr="00B80026" w:rsidRDefault="00B80026" w:rsidP="002535A1">
      <w:pPr>
        <w:tabs>
          <w:tab w:val="left" w:pos="720"/>
        </w:tabs>
        <w:ind w:left="720" w:hanging="360"/>
        <w:rPr>
          <w:rFonts w:asciiTheme="minorHAnsi" w:hAnsiTheme="minorHAnsi" w:cstheme="minorHAnsi"/>
          <w:sz w:val="22"/>
          <w:szCs w:val="22"/>
        </w:rPr>
      </w:pPr>
    </w:p>
    <w:p w:rsidR="00B80026" w:rsidRPr="00B80026" w:rsidRDefault="00B80026" w:rsidP="002535A1">
      <w:pPr>
        <w:tabs>
          <w:tab w:val="left" w:pos="1080"/>
        </w:tabs>
        <w:ind w:left="1080" w:hanging="540"/>
        <w:rPr>
          <w:rFonts w:asciiTheme="minorHAnsi" w:hAnsiTheme="minorHAnsi" w:cstheme="minorHAnsi"/>
          <w:sz w:val="22"/>
          <w:szCs w:val="22"/>
        </w:rPr>
      </w:pPr>
      <w:r w:rsidRPr="00B80026">
        <w:rPr>
          <w:rFonts w:asciiTheme="minorHAnsi" w:hAnsiTheme="minorHAnsi" w:cstheme="minorHAnsi"/>
          <w:sz w:val="22"/>
          <w:szCs w:val="22"/>
        </w:rPr>
        <w:t>(c)</w:t>
      </w:r>
      <w:r w:rsidRPr="00B80026">
        <w:rPr>
          <w:rFonts w:asciiTheme="minorHAnsi" w:hAnsiTheme="minorHAnsi" w:cstheme="minorHAnsi"/>
          <w:sz w:val="22"/>
          <w:szCs w:val="22"/>
        </w:rPr>
        <w:tab/>
        <w:t>Public Indebtedness</w:t>
      </w:r>
    </w:p>
    <w:p w:rsidR="00B80026" w:rsidRPr="00B80026" w:rsidRDefault="00B80026" w:rsidP="002535A1">
      <w:pPr>
        <w:tabs>
          <w:tab w:val="left" w:pos="720"/>
        </w:tabs>
        <w:ind w:left="720" w:hanging="360"/>
        <w:rPr>
          <w:rFonts w:asciiTheme="minorHAnsi" w:hAnsiTheme="minorHAnsi" w:cstheme="minorHAnsi"/>
          <w:sz w:val="22"/>
          <w:szCs w:val="22"/>
        </w:rPr>
      </w:pPr>
    </w:p>
    <w:p w:rsidR="00B80026" w:rsidRDefault="00B80026" w:rsidP="002535A1">
      <w:pPr>
        <w:tabs>
          <w:tab w:val="left" w:pos="1080"/>
        </w:tabs>
        <w:ind w:left="1080" w:hanging="540"/>
        <w:rPr>
          <w:rFonts w:asciiTheme="minorHAnsi" w:hAnsiTheme="minorHAnsi" w:cstheme="minorHAnsi"/>
          <w:sz w:val="22"/>
          <w:szCs w:val="22"/>
        </w:rPr>
      </w:pPr>
      <w:r w:rsidRPr="00B80026">
        <w:rPr>
          <w:rFonts w:asciiTheme="minorHAnsi" w:hAnsiTheme="minorHAnsi" w:cstheme="minorHAnsi"/>
          <w:sz w:val="22"/>
          <w:szCs w:val="22"/>
        </w:rPr>
        <w:t>(d)</w:t>
      </w:r>
      <w:r w:rsidRPr="00B80026">
        <w:rPr>
          <w:rFonts w:asciiTheme="minorHAnsi" w:hAnsiTheme="minorHAnsi" w:cstheme="minorHAnsi"/>
          <w:sz w:val="22"/>
          <w:szCs w:val="22"/>
        </w:rPr>
        <w:tab/>
        <w:t xml:space="preserve">Contracting </w:t>
      </w:r>
      <w:r w:rsidR="005626FC">
        <w:rPr>
          <w:rFonts w:asciiTheme="minorHAnsi" w:hAnsiTheme="minorHAnsi" w:cstheme="minorHAnsi"/>
          <w:sz w:val="22"/>
          <w:szCs w:val="22"/>
        </w:rPr>
        <w:t>–</w:t>
      </w:r>
      <w:r w:rsidRPr="00B80026">
        <w:rPr>
          <w:rFonts w:asciiTheme="minorHAnsi" w:hAnsiTheme="minorHAnsi" w:cstheme="minorHAnsi"/>
          <w:sz w:val="22"/>
          <w:szCs w:val="22"/>
        </w:rPr>
        <w:t xml:space="preserve"> Bid Laws</w:t>
      </w:r>
      <w:r>
        <w:rPr>
          <w:rFonts w:asciiTheme="minorHAnsi" w:hAnsiTheme="minorHAnsi" w:cstheme="minorHAnsi"/>
          <w:sz w:val="22"/>
          <w:szCs w:val="22"/>
        </w:rPr>
        <w:br w:type="page"/>
      </w:r>
    </w:p>
    <w:p w:rsidR="00B80026" w:rsidRPr="00B80026" w:rsidRDefault="00B80026" w:rsidP="002535A1">
      <w:pPr>
        <w:tabs>
          <w:tab w:val="left" w:pos="1080"/>
        </w:tabs>
        <w:ind w:left="1080" w:hanging="540"/>
        <w:rPr>
          <w:rFonts w:asciiTheme="minorHAnsi" w:hAnsiTheme="minorHAnsi" w:cstheme="minorHAnsi"/>
          <w:sz w:val="22"/>
          <w:szCs w:val="22"/>
        </w:rPr>
      </w:pPr>
      <w:r w:rsidRPr="00B80026">
        <w:rPr>
          <w:rFonts w:asciiTheme="minorHAnsi" w:hAnsiTheme="minorHAnsi" w:cstheme="minorHAnsi"/>
          <w:sz w:val="22"/>
          <w:szCs w:val="22"/>
        </w:rPr>
        <w:lastRenderedPageBreak/>
        <w:t>(e)</w:t>
      </w:r>
      <w:r w:rsidRPr="00B80026">
        <w:rPr>
          <w:rFonts w:asciiTheme="minorHAnsi" w:hAnsiTheme="minorHAnsi" w:cstheme="minorHAnsi"/>
          <w:sz w:val="22"/>
          <w:szCs w:val="22"/>
        </w:rPr>
        <w:tab/>
        <w:t>Claims and Disbursements</w:t>
      </w:r>
    </w:p>
    <w:p w:rsidR="00B80026" w:rsidRPr="00B80026" w:rsidRDefault="00B80026" w:rsidP="002535A1">
      <w:pPr>
        <w:tabs>
          <w:tab w:val="left" w:pos="720"/>
        </w:tabs>
        <w:ind w:left="720" w:hanging="360"/>
        <w:rPr>
          <w:rFonts w:asciiTheme="minorHAnsi" w:hAnsiTheme="minorHAnsi" w:cstheme="minorHAnsi"/>
          <w:sz w:val="22"/>
          <w:szCs w:val="22"/>
        </w:rPr>
      </w:pPr>
    </w:p>
    <w:p w:rsidR="00B80026" w:rsidRPr="00B80026" w:rsidRDefault="00B80026" w:rsidP="002535A1">
      <w:pPr>
        <w:tabs>
          <w:tab w:val="left" w:pos="1080"/>
        </w:tabs>
        <w:ind w:left="1080" w:hanging="540"/>
        <w:rPr>
          <w:rFonts w:asciiTheme="minorHAnsi" w:hAnsiTheme="minorHAnsi" w:cstheme="minorHAnsi"/>
          <w:sz w:val="22"/>
          <w:szCs w:val="22"/>
        </w:rPr>
      </w:pPr>
      <w:r w:rsidRPr="00B80026">
        <w:rPr>
          <w:rFonts w:asciiTheme="minorHAnsi" w:hAnsiTheme="minorHAnsi" w:cstheme="minorHAnsi"/>
          <w:sz w:val="22"/>
          <w:szCs w:val="22"/>
        </w:rPr>
        <w:t>(f)</w:t>
      </w:r>
      <w:r w:rsidRPr="00B80026">
        <w:rPr>
          <w:rFonts w:asciiTheme="minorHAnsi" w:hAnsiTheme="minorHAnsi" w:cstheme="minorHAnsi"/>
          <w:sz w:val="22"/>
          <w:szCs w:val="22"/>
        </w:rPr>
        <w:tab/>
        <w:t>Local Government Miscellaneous Provisions</w:t>
      </w:r>
    </w:p>
    <w:p w:rsidR="00B80026" w:rsidRPr="00B80026" w:rsidRDefault="00B80026" w:rsidP="002535A1">
      <w:pPr>
        <w:rPr>
          <w:rFonts w:asciiTheme="minorHAnsi" w:hAnsiTheme="minorHAnsi" w:cstheme="minorHAnsi"/>
          <w:sz w:val="22"/>
          <w:szCs w:val="22"/>
        </w:rPr>
      </w:pPr>
    </w:p>
    <w:p w:rsidR="00B80026" w:rsidRPr="00B80026" w:rsidRDefault="00B80026" w:rsidP="002535A1">
      <w:pPr>
        <w:tabs>
          <w:tab w:val="left" w:pos="540"/>
        </w:tabs>
        <w:ind w:left="540" w:hanging="540"/>
        <w:rPr>
          <w:rFonts w:asciiTheme="minorHAnsi" w:hAnsiTheme="minorHAnsi" w:cstheme="minorHAnsi"/>
          <w:sz w:val="22"/>
          <w:szCs w:val="22"/>
        </w:rPr>
      </w:pPr>
      <w:r w:rsidRPr="00B80026">
        <w:rPr>
          <w:rFonts w:asciiTheme="minorHAnsi" w:hAnsiTheme="minorHAnsi" w:cstheme="minorHAnsi"/>
          <w:sz w:val="22"/>
          <w:szCs w:val="22"/>
        </w:rPr>
        <w:t>3.</w:t>
      </w:r>
      <w:r w:rsidRPr="00B80026">
        <w:rPr>
          <w:rFonts w:asciiTheme="minorHAnsi" w:hAnsiTheme="minorHAnsi" w:cstheme="minorHAnsi"/>
          <w:sz w:val="22"/>
          <w:szCs w:val="22"/>
        </w:rPr>
        <w:tab/>
        <w:t>Inquired of the [entity] management of any instances (regardless of materiality) indicating any fraud, illegal acts, or noncompliance, and whether they have reported the instances to the Office of the State Auditor.</w:t>
      </w:r>
    </w:p>
    <w:p w:rsidR="00B80026" w:rsidRPr="00B80026" w:rsidRDefault="00B80026" w:rsidP="002535A1">
      <w:pPr>
        <w:rPr>
          <w:rFonts w:asciiTheme="minorHAnsi" w:hAnsiTheme="minorHAnsi" w:cstheme="minorHAnsi"/>
          <w:sz w:val="22"/>
          <w:szCs w:val="22"/>
        </w:rPr>
      </w:pPr>
    </w:p>
    <w:p w:rsidR="00B80026" w:rsidRPr="008953C4" w:rsidRDefault="00B80026" w:rsidP="002535A1">
      <w:pPr>
        <w:ind w:left="540"/>
        <w:rPr>
          <w:rFonts w:asciiTheme="minorHAnsi" w:hAnsiTheme="minorHAnsi" w:cstheme="minorHAnsi"/>
          <w:sz w:val="22"/>
          <w:szCs w:val="22"/>
        </w:rPr>
      </w:pPr>
      <w:r w:rsidRPr="00B80026">
        <w:rPr>
          <w:rFonts w:asciiTheme="minorHAnsi" w:hAnsiTheme="minorHAnsi" w:cstheme="minorHAnsi"/>
          <w:i/>
          <w:sz w:val="22"/>
          <w:szCs w:val="22"/>
        </w:rPr>
        <w:t>The purpose of the procedure is to determine if any instances of fraud, illegal acts, or noncompliance have occurred, and whether the entity has fulfilled its reporting requirement under Minn. Stat. §</w:t>
      </w:r>
      <w:r w:rsidR="002535A1">
        <w:rPr>
          <w:rFonts w:asciiTheme="minorHAnsi" w:hAnsiTheme="minorHAnsi" w:cstheme="minorHAnsi"/>
          <w:i/>
          <w:sz w:val="22"/>
          <w:szCs w:val="22"/>
        </w:rPr>
        <w:t xml:space="preserve"> </w:t>
      </w:r>
      <w:r w:rsidRPr="00B80026">
        <w:rPr>
          <w:rFonts w:asciiTheme="minorHAnsi" w:hAnsiTheme="minorHAnsi" w:cstheme="minorHAnsi"/>
          <w:i/>
          <w:sz w:val="22"/>
          <w:szCs w:val="22"/>
        </w:rPr>
        <w:t>609.456.</w:t>
      </w:r>
    </w:p>
    <w:p w:rsidR="00B80026" w:rsidRPr="00B80026" w:rsidRDefault="00B80026" w:rsidP="002535A1">
      <w:pPr>
        <w:rPr>
          <w:rFonts w:asciiTheme="minorHAnsi" w:hAnsiTheme="minorHAnsi" w:cstheme="minorHAnsi"/>
          <w:sz w:val="22"/>
          <w:szCs w:val="22"/>
        </w:rPr>
      </w:pPr>
    </w:p>
    <w:p w:rsidR="00B80026" w:rsidRPr="008953C4" w:rsidRDefault="00B80026" w:rsidP="002535A1">
      <w:pPr>
        <w:rPr>
          <w:rFonts w:asciiTheme="minorHAnsi" w:hAnsiTheme="minorHAnsi" w:cstheme="minorHAnsi"/>
          <w:sz w:val="22"/>
          <w:szCs w:val="22"/>
        </w:rPr>
      </w:pPr>
      <w:r w:rsidRPr="00B80026">
        <w:rPr>
          <w:rFonts w:asciiTheme="minorHAnsi" w:hAnsiTheme="minorHAnsi" w:cstheme="minorHAnsi"/>
          <w:i/>
          <w:sz w:val="22"/>
          <w:szCs w:val="22"/>
        </w:rPr>
        <w:t>The audit practitioner need not perform procedures beyond those agreed to by the parties involved (for example, the client and specified parties).</w:t>
      </w:r>
      <w:r w:rsidR="002535A1">
        <w:rPr>
          <w:rFonts w:asciiTheme="minorHAnsi" w:hAnsiTheme="minorHAnsi" w:cstheme="minorHAnsi"/>
          <w:i/>
          <w:sz w:val="22"/>
          <w:szCs w:val="22"/>
        </w:rPr>
        <w:t xml:space="preserve"> </w:t>
      </w:r>
      <w:r w:rsidRPr="00B80026">
        <w:rPr>
          <w:rFonts w:asciiTheme="minorHAnsi" w:hAnsiTheme="minorHAnsi" w:cstheme="minorHAnsi"/>
          <w:i/>
          <w:sz w:val="22"/>
          <w:szCs w:val="22"/>
        </w:rPr>
        <w:t xml:space="preserve"> If, in connection with the application of the agreed-upon procedures, matters come to the audit practitioner’s attention by other means that significantly contradict the subject matter, the audit practitioner should include such matters in his or her report.</w:t>
      </w:r>
    </w:p>
    <w:p w:rsidR="00B80026" w:rsidRPr="00B80026" w:rsidRDefault="00B80026" w:rsidP="002535A1">
      <w:pPr>
        <w:rPr>
          <w:rFonts w:asciiTheme="minorHAnsi" w:hAnsiTheme="minorHAnsi" w:cstheme="minorHAnsi"/>
          <w:sz w:val="22"/>
          <w:szCs w:val="22"/>
        </w:rPr>
      </w:pPr>
    </w:p>
    <w:p w:rsidR="00B80026" w:rsidRPr="008953C4" w:rsidRDefault="00B80026" w:rsidP="002535A1">
      <w:pPr>
        <w:rPr>
          <w:rFonts w:asciiTheme="minorHAnsi" w:hAnsiTheme="minorHAnsi" w:cstheme="minorHAnsi"/>
          <w:sz w:val="22"/>
          <w:szCs w:val="22"/>
        </w:rPr>
      </w:pPr>
      <w:r w:rsidRPr="00B80026">
        <w:rPr>
          <w:rFonts w:asciiTheme="minorHAnsi" w:hAnsiTheme="minorHAnsi" w:cstheme="minorHAnsi"/>
          <w:i/>
          <w:sz w:val="22"/>
          <w:szCs w:val="22"/>
        </w:rPr>
        <w:t xml:space="preserve">Deciding whether such matters are important enough to communicate is a matter of professional judgment. </w:t>
      </w:r>
      <w:r w:rsidR="008953C4">
        <w:rPr>
          <w:rFonts w:asciiTheme="minorHAnsi" w:hAnsiTheme="minorHAnsi" w:cstheme="minorHAnsi"/>
          <w:i/>
          <w:sz w:val="22"/>
          <w:szCs w:val="22"/>
        </w:rPr>
        <w:t xml:space="preserve"> </w:t>
      </w:r>
      <w:r w:rsidRPr="00B80026">
        <w:rPr>
          <w:rFonts w:asciiTheme="minorHAnsi" w:hAnsiTheme="minorHAnsi" w:cstheme="minorHAnsi"/>
          <w:i/>
          <w:sz w:val="22"/>
          <w:szCs w:val="22"/>
        </w:rPr>
        <w:t>It is generally better to err on the side of conservatism and report any matters that are relevant to the subject matter and might be considered significant to the client or specified parties.</w:t>
      </w:r>
    </w:p>
    <w:p w:rsidR="00B80026" w:rsidRPr="00B80026" w:rsidRDefault="00B80026" w:rsidP="002535A1">
      <w:pPr>
        <w:widowControl w:val="0"/>
        <w:rPr>
          <w:rFonts w:asciiTheme="minorHAnsi" w:hAnsiTheme="minorHAnsi" w:cstheme="minorHAnsi"/>
          <w:sz w:val="22"/>
          <w:szCs w:val="22"/>
        </w:rPr>
      </w:pPr>
    </w:p>
    <w:p w:rsidR="00B80026" w:rsidRPr="00B80026" w:rsidRDefault="00B80026" w:rsidP="002535A1">
      <w:pPr>
        <w:rPr>
          <w:rFonts w:asciiTheme="minorHAnsi" w:hAnsiTheme="minorHAnsi" w:cstheme="minorHAnsi"/>
          <w:sz w:val="22"/>
          <w:szCs w:val="22"/>
        </w:rPr>
      </w:pPr>
    </w:p>
    <w:sectPr w:rsidR="00B80026" w:rsidRPr="00B80026" w:rsidSect="00B80026">
      <w:footerReference w:type="default" r:id="rId7"/>
      <w:headerReference w:type="first" r:id="rId8"/>
      <w:footerReference w:type="first" r:id="rId9"/>
      <w:pgSz w:w="12240" w:h="15840"/>
      <w:pgMar w:top="1440" w:right="1440" w:bottom="1440" w:left="1440" w:header="36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2D1" w:rsidRDefault="000662D1" w:rsidP="00740EFB">
      <w:r>
        <w:separator/>
      </w:r>
    </w:p>
  </w:endnote>
  <w:endnote w:type="continuationSeparator" w:id="0">
    <w:p w:rsidR="000662D1" w:rsidRDefault="000662D1" w:rsidP="0074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026" w:rsidRDefault="00931A59" w:rsidP="00931A59">
    <w:pPr>
      <w:pStyle w:val="Footer"/>
    </w:pPr>
    <w:r>
      <w:t>September 2021, Office of the State Auditor</w:t>
    </w:r>
    <w:r>
      <w:tab/>
    </w:r>
    <w:r>
      <w:tab/>
      <w:t xml:space="preserve">  </w:t>
    </w:r>
    <w:r w:rsidR="00B80026">
      <w:t xml:space="preserve">Page </w:t>
    </w:r>
    <w:r w:rsidR="00B80026">
      <w:fldChar w:fldCharType="begin"/>
    </w:r>
    <w:r w:rsidR="00B80026">
      <w:instrText xml:space="preserve"> PAGE   \* MERGEFORMAT </w:instrText>
    </w:r>
    <w:r w:rsidR="00B80026">
      <w:fldChar w:fldCharType="separate"/>
    </w:r>
    <w:r w:rsidR="005626FC">
      <w:rPr>
        <w:noProof/>
      </w:rPr>
      <w:t>5</w:t>
    </w:r>
    <w:r w:rsidR="00B80026">
      <w:rPr>
        <w:noProof/>
      </w:rPr>
      <w:fldChar w:fldCharType="end"/>
    </w:r>
  </w:p>
  <w:p w:rsidR="00B80026" w:rsidRDefault="00B80026">
    <w:pPr>
      <w:pStyle w:val="Footer"/>
    </w:pPr>
  </w:p>
  <w:p w:rsidR="00B80026" w:rsidRDefault="00B80026">
    <w:pPr>
      <w:pStyle w:val="Footer"/>
    </w:pPr>
  </w:p>
  <w:p w:rsidR="00B80026" w:rsidRDefault="00B80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026" w:rsidRPr="00B80026" w:rsidRDefault="00B80026" w:rsidP="00B80026">
    <w:pPr>
      <w:rPr>
        <w:rFonts w:asciiTheme="minorHAnsi" w:hAnsiTheme="minorHAnsi" w:cstheme="minorHAnsi"/>
        <w:sz w:val="22"/>
        <w:szCs w:val="22"/>
      </w:rPr>
    </w:pPr>
    <w:r>
      <w:rPr>
        <w:rFonts w:asciiTheme="minorHAnsi" w:hAnsiTheme="minorHAnsi" w:cstheme="minorHAnsi"/>
        <w:sz w:val="22"/>
        <w:szCs w:val="22"/>
      </w:rPr>
      <w:t>September 2021</w:t>
    </w:r>
    <w:r w:rsidR="00931A59">
      <w:rPr>
        <w:rFonts w:asciiTheme="minorHAnsi" w:hAnsiTheme="minorHAnsi" w:cstheme="minorHAnsi"/>
        <w:sz w:val="22"/>
        <w:szCs w:val="22"/>
      </w:rPr>
      <w:t>, Office of the State Auditor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B80026">
      <w:rPr>
        <w:rFonts w:asciiTheme="minorHAnsi" w:hAnsiTheme="minorHAnsi" w:cstheme="minorHAnsi"/>
        <w:sz w:val="22"/>
        <w:szCs w:val="22"/>
      </w:rPr>
      <w:t xml:space="preserve">Page </w:t>
    </w:r>
    <w:r w:rsidRPr="00B80026">
      <w:rPr>
        <w:rFonts w:asciiTheme="minorHAnsi" w:hAnsiTheme="minorHAnsi" w:cstheme="minorHAnsi"/>
        <w:sz w:val="22"/>
        <w:szCs w:val="22"/>
      </w:rPr>
      <w:fldChar w:fldCharType="begin"/>
    </w:r>
    <w:r w:rsidRPr="00B80026">
      <w:rPr>
        <w:rFonts w:asciiTheme="minorHAnsi" w:hAnsiTheme="minorHAnsi" w:cstheme="minorHAnsi"/>
        <w:sz w:val="22"/>
        <w:szCs w:val="22"/>
      </w:rPr>
      <w:instrText xml:space="preserve"> PAGE   \* MERGEFORMAT </w:instrText>
    </w:r>
    <w:r w:rsidRPr="00B80026">
      <w:rPr>
        <w:rFonts w:asciiTheme="minorHAnsi" w:hAnsiTheme="minorHAnsi" w:cstheme="minorHAnsi"/>
        <w:sz w:val="22"/>
        <w:szCs w:val="22"/>
      </w:rPr>
      <w:fldChar w:fldCharType="separate"/>
    </w:r>
    <w:r w:rsidR="005626FC">
      <w:rPr>
        <w:rFonts w:asciiTheme="minorHAnsi" w:hAnsiTheme="minorHAnsi" w:cstheme="minorHAnsi"/>
        <w:noProof/>
        <w:sz w:val="22"/>
        <w:szCs w:val="22"/>
      </w:rPr>
      <w:t>1</w:t>
    </w:r>
    <w:r w:rsidRPr="00B80026">
      <w:rPr>
        <w:rFonts w:asciiTheme="minorHAnsi" w:hAnsiTheme="minorHAnsi" w:cstheme="minorHAnsi"/>
        <w:noProof/>
        <w:sz w:val="22"/>
        <w:szCs w:val="22"/>
      </w:rPr>
      <w:fldChar w:fldCharType="end"/>
    </w:r>
  </w:p>
  <w:p w:rsidR="00B80026" w:rsidRPr="00B80026" w:rsidRDefault="00B80026">
    <w:pPr>
      <w:rPr>
        <w:rFonts w:asciiTheme="minorHAnsi" w:hAnsiTheme="minorHAnsi" w:cstheme="minorHAnsi"/>
        <w:sz w:val="22"/>
        <w:szCs w:val="22"/>
      </w:rPr>
    </w:pPr>
  </w:p>
  <w:tbl>
    <w:tblPr>
      <w:tblStyle w:val="TableGrid"/>
      <w:tblW w:w="1125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0"/>
    </w:tblGrid>
    <w:tr w:rsidR="001D4B53" w:rsidTr="00C01B1E">
      <w:tc>
        <w:tcPr>
          <w:tcW w:w="11250" w:type="dxa"/>
        </w:tcPr>
        <w:p w:rsidR="001D4B53" w:rsidRDefault="001D4B53" w:rsidP="001D4B53">
          <w:pPr>
            <w:spacing w:before="49"/>
            <w:ind w:left="254" w:right="219"/>
            <w:jc w:val="center"/>
            <w:rPr>
              <w:rFonts w:ascii="Tw Cen MT" w:eastAsia="Tw Cen MT" w:hAnsi="Tw Cen MT" w:cs="Tw Cen MT"/>
              <w:sz w:val="20"/>
              <w:szCs w:val="20"/>
            </w:rPr>
          </w:pPr>
          <w:r>
            <w:rPr>
              <w:rFonts w:ascii="Tw Cen MT" w:eastAsia="Tw Cen MT" w:hAnsi="Tw Cen MT" w:cs="Tw Cen MT"/>
              <w:b/>
              <w:bCs/>
              <w:color w:val="0063A3"/>
              <w:sz w:val="20"/>
              <w:szCs w:val="20"/>
            </w:rPr>
            <w:t>Main:</w:t>
          </w:r>
          <w:r>
            <w:rPr>
              <w:rFonts w:ascii="Tw Cen MT" w:eastAsia="Tw Cen MT" w:hAnsi="Tw Cen MT" w:cs="Tw Cen MT"/>
              <w:b/>
              <w:bCs/>
              <w:color w:val="0063A3"/>
              <w:spacing w:val="-5"/>
              <w:sz w:val="20"/>
              <w:szCs w:val="20"/>
            </w:rPr>
            <w:t xml:space="preserve"> </w:t>
          </w:r>
          <w:r>
            <w:rPr>
              <w:rFonts w:ascii="Tw Cen MT" w:eastAsia="Tw Cen MT" w:hAnsi="Tw Cen MT" w:cs="Tw Cen MT"/>
              <w:b/>
              <w:bCs/>
              <w:color w:val="0063A3"/>
              <w:sz w:val="20"/>
              <w:szCs w:val="20"/>
            </w:rPr>
            <w:t>(651)</w:t>
          </w:r>
          <w:r>
            <w:rPr>
              <w:rFonts w:ascii="Tw Cen MT" w:eastAsia="Tw Cen MT" w:hAnsi="Tw Cen MT" w:cs="Tw Cen MT"/>
              <w:b/>
              <w:bCs/>
              <w:color w:val="0063A3"/>
              <w:spacing w:val="-4"/>
              <w:sz w:val="20"/>
              <w:szCs w:val="20"/>
            </w:rPr>
            <w:t xml:space="preserve"> </w:t>
          </w:r>
          <w:r>
            <w:rPr>
              <w:rFonts w:ascii="Tw Cen MT" w:eastAsia="Tw Cen MT" w:hAnsi="Tw Cen MT" w:cs="Tw Cen MT"/>
              <w:b/>
              <w:bCs/>
              <w:color w:val="0063A3"/>
              <w:sz w:val="20"/>
              <w:szCs w:val="20"/>
            </w:rPr>
            <w:t>296-2551</w:t>
          </w:r>
          <w:r>
            <w:rPr>
              <w:rFonts w:ascii="Tw Cen MT" w:eastAsia="Tw Cen MT" w:hAnsi="Tw Cen MT" w:cs="Tw Cen MT"/>
              <w:b/>
              <w:bCs/>
              <w:color w:val="0063A3"/>
              <w:spacing w:val="-9"/>
              <w:sz w:val="20"/>
              <w:szCs w:val="20"/>
            </w:rPr>
            <w:t xml:space="preserve"> </w:t>
          </w:r>
          <w:r>
            <w:rPr>
              <w:rFonts w:ascii="Wingdings" w:eastAsia="Wingdings" w:hAnsi="Wingdings" w:cs="Wingdings"/>
              <w:color w:val="0063A3"/>
              <w:position w:val="2"/>
              <w:sz w:val="12"/>
              <w:szCs w:val="12"/>
            </w:rPr>
            <w:t></w:t>
          </w:r>
          <w:r>
            <w:rPr>
              <w:color w:val="0063A3"/>
              <w:spacing w:val="23"/>
              <w:position w:val="2"/>
              <w:sz w:val="12"/>
              <w:szCs w:val="12"/>
            </w:rPr>
            <w:t xml:space="preserve"> </w:t>
          </w:r>
          <w:r>
            <w:rPr>
              <w:rFonts w:ascii="Tw Cen MT" w:eastAsia="Tw Cen MT" w:hAnsi="Tw Cen MT" w:cs="Tw Cen MT"/>
              <w:b/>
              <w:bCs/>
              <w:color w:val="0063A3"/>
              <w:sz w:val="20"/>
              <w:szCs w:val="20"/>
            </w:rPr>
            <w:t>Fax:</w:t>
          </w:r>
          <w:r>
            <w:rPr>
              <w:rFonts w:ascii="Tw Cen MT" w:eastAsia="Tw Cen MT" w:hAnsi="Tw Cen MT" w:cs="Tw Cen MT"/>
              <w:b/>
              <w:bCs/>
              <w:color w:val="0063A3"/>
              <w:spacing w:val="-3"/>
              <w:sz w:val="20"/>
              <w:szCs w:val="20"/>
            </w:rPr>
            <w:t xml:space="preserve"> </w:t>
          </w:r>
          <w:r>
            <w:rPr>
              <w:rFonts w:ascii="Tw Cen MT" w:eastAsia="Tw Cen MT" w:hAnsi="Tw Cen MT" w:cs="Tw Cen MT"/>
              <w:b/>
              <w:bCs/>
              <w:color w:val="0063A3"/>
              <w:sz w:val="20"/>
              <w:szCs w:val="20"/>
            </w:rPr>
            <w:t>(651)</w:t>
          </w:r>
          <w:r>
            <w:rPr>
              <w:rFonts w:ascii="Tw Cen MT" w:eastAsia="Tw Cen MT" w:hAnsi="Tw Cen MT" w:cs="Tw Cen MT"/>
              <w:b/>
              <w:bCs/>
              <w:color w:val="0063A3"/>
              <w:spacing w:val="-4"/>
              <w:sz w:val="20"/>
              <w:szCs w:val="20"/>
            </w:rPr>
            <w:t xml:space="preserve"> </w:t>
          </w:r>
          <w:r>
            <w:rPr>
              <w:rFonts w:ascii="Tw Cen MT" w:eastAsia="Tw Cen MT" w:hAnsi="Tw Cen MT" w:cs="Tw Cen MT"/>
              <w:b/>
              <w:bCs/>
              <w:color w:val="0063A3"/>
              <w:sz w:val="20"/>
              <w:szCs w:val="20"/>
            </w:rPr>
            <w:t>296-4755</w:t>
          </w:r>
          <w:r>
            <w:rPr>
              <w:rFonts w:ascii="Tw Cen MT" w:eastAsia="Tw Cen MT" w:hAnsi="Tw Cen MT" w:cs="Tw Cen MT"/>
              <w:b/>
              <w:bCs/>
              <w:color w:val="0063A3"/>
              <w:spacing w:val="-8"/>
              <w:sz w:val="20"/>
              <w:szCs w:val="20"/>
            </w:rPr>
            <w:t xml:space="preserve"> </w:t>
          </w:r>
          <w:r>
            <w:rPr>
              <w:rFonts w:ascii="Wingdings" w:eastAsia="Wingdings" w:hAnsi="Wingdings" w:cs="Wingdings"/>
              <w:color w:val="0063A3"/>
              <w:position w:val="2"/>
              <w:sz w:val="12"/>
              <w:szCs w:val="12"/>
            </w:rPr>
            <w:t></w:t>
          </w:r>
          <w:r>
            <w:rPr>
              <w:color w:val="0063A3"/>
              <w:spacing w:val="23"/>
              <w:position w:val="2"/>
              <w:sz w:val="12"/>
              <w:szCs w:val="12"/>
            </w:rPr>
            <w:t xml:space="preserve"> </w:t>
          </w:r>
          <w:r>
            <w:rPr>
              <w:rFonts w:ascii="Tw Cen MT" w:eastAsia="Tw Cen MT" w:hAnsi="Tw Cen MT" w:cs="Tw Cen MT"/>
              <w:b/>
              <w:bCs/>
              <w:color w:val="0063A3"/>
              <w:sz w:val="20"/>
              <w:szCs w:val="20"/>
            </w:rPr>
            <w:t>TT</w:t>
          </w:r>
          <w:r>
            <w:rPr>
              <w:rFonts w:ascii="Tw Cen MT" w:eastAsia="Tw Cen MT" w:hAnsi="Tw Cen MT" w:cs="Tw Cen MT"/>
              <w:b/>
              <w:bCs/>
              <w:color w:val="0063A3"/>
              <w:spacing w:val="-10"/>
              <w:sz w:val="20"/>
              <w:szCs w:val="20"/>
            </w:rPr>
            <w:t>Y</w:t>
          </w:r>
          <w:r>
            <w:rPr>
              <w:rFonts w:ascii="Tw Cen MT" w:eastAsia="Tw Cen MT" w:hAnsi="Tw Cen MT" w:cs="Tw Cen MT"/>
              <w:b/>
              <w:bCs/>
              <w:color w:val="0063A3"/>
              <w:sz w:val="20"/>
              <w:szCs w:val="20"/>
            </w:rPr>
            <w:t>:</w:t>
          </w:r>
          <w:r>
            <w:rPr>
              <w:rFonts w:ascii="Tw Cen MT" w:eastAsia="Tw Cen MT" w:hAnsi="Tw Cen MT" w:cs="Tw Cen MT"/>
              <w:b/>
              <w:bCs/>
              <w:color w:val="0063A3"/>
              <w:spacing w:val="-1"/>
              <w:sz w:val="20"/>
              <w:szCs w:val="20"/>
            </w:rPr>
            <w:t xml:space="preserve"> </w:t>
          </w:r>
          <w:r>
            <w:rPr>
              <w:rFonts w:ascii="Tw Cen MT" w:eastAsia="Tw Cen MT" w:hAnsi="Tw Cen MT" w:cs="Tw Cen MT"/>
              <w:b/>
              <w:bCs/>
              <w:color w:val="0063A3"/>
              <w:sz w:val="20"/>
              <w:szCs w:val="20"/>
            </w:rPr>
            <w:t>(800)</w:t>
          </w:r>
          <w:r>
            <w:rPr>
              <w:rFonts w:ascii="Tw Cen MT" w:eastAsia="Tw Cen MT" w:hAnsi="Tw Cen MT" w:cs="Tw Cen MT"/>
              <w:b/>
              <w:bCs/>
              <w:color w:val="0063A3"/>
              <w:spacing w:val="-4"/>
              <w:sz w:val="20"/>
              <w:szCs w:val="20"/>
            </w:rPr>
            <w:t xml:space="preserve"> </w:t>
          </w:r>
          <w:r>
            <w:rPr>
              <w:rFonts w:ascii="Tw Cen MT" w:eastAsia="Tw Cen MT" w:hAnsi="Tw Cen MT" w:cs="Tw Cen MT"/>
              <w:b/>
              <w:bCs/>
              <w:color w:val="0063A3"/>
              <w:sz w:val="20"/>
              <w:szCs w:val="20"/>
            </w:rPr>
            <w:t>627-3529</w:t>
          </w:r>
          <w:r>
            <w:rPr>
              <w:rFonts w:ascii="Tw Cen MT" w:eastAsia="Tw Cen MT" w:hAnsi="Tw Cen MT" w:cs="Tw Cen MT"/>
              <w:b/>
              <w:bCs/>
              <w:color w:val="0063A3"/>
              <w:spacing w:val="-8"/>
              <w:sz w:val="20"/>
              <w:szCs w:val="20"/>
            </w:rPr>
            <w:t xml:space="preserve"> </w:t>
          </w:r>
          <w:r>
            <w:rPr>
              <w:rFonts w:ascii="Wingdings" w:eastAsia="Wingdings" w:hAnsi="Wingdings" w:cs="Wingdings"/>
              <w:color w:val="0063A3"/>
              <w:position w:val="2"/>
              <w:sz w:val="12"/>
              <w:szCs w:val="12"/>
            </w:rPr>
            <w:t></w:t>
          </w:r>
          <w:r>
            <w:rPr>
              <w:color w:val="0063A3"/>
              <w:position w:val="2"/>
              <w:sz w:val="12"/>
              <w:szCs w:val="12"/>
            </w:rPr>
            <w:t xml:space="preserve"> </w:t>
          </w:r>
          <w:r>
            <w:rPr>
              <w:color w:val="0063A3"/>
              <w:spacing w:val="7"/>
              <w:position w:val="2"/>
              <w:sz w:val="12"/>
              <w:szCs w:val="12"/>
            </w:rPr>
            <w:t xml:space="preserve"> </w:t>
          </w:r>
          <w:hyperlink r:id="rId1">
            <w:r>
              <w:rPr>
                <w:rFonts w:ascii="Tw Cen MT" w:eastAsia="Tw Cen MT" w:hAnsi="Tw Cen MT" w:cs="Tw Cen MT"/>
                <w:b/>
                <w:bCs/>
                <w:color w:val="0063A3"/>
                <w:sz w:val="20"/>
                <w:szCs w:val="20"/>
              </w:rPr>
              <w:t>State.Auditor</w:t>
            </w:r>
            <w:r>
              <w:rPr>
                <w:rFonts w:ascii="Tw Cen MT" w:eastAsia="Tw Cen MT" w:hAnsi="Tw Cen MT" w:cs="Tw Cen MT"/>
                <w:b/>
                <w:bCs/>
                <w:color w:val="0063A3"/>
                <w:sz w:val="16"/>
                <w:szCs w:val="16"/>
              </w:rPr>
              <w:t>@</w:t>
            </w:r>
            <w:r>
              <w:rPr>
                <w:rFonts w:ascii="Tw Cen MT" w:eastAsia="Tw Cen MT" w:hAnsi="Tw Cen MT" w:cs="Tw Cen MT"/>
                <w:b/>
                <w:bCs/>
                <w:color w:val="0063A3"/>
                <w:spacing w:val="-23"/>
                <w:sz w:val="16"/>
                <w:szCs w:val="16"/>
              </w:rPr>
              <w:t xml:space="preserve"> </w:t>
            </w:r>
            <w:r>
              <w:rPr>
                <w:rFonts w:ascii="Tw Cen MT" w:eastAsia="Tw Cen MT" w:hAnsi="Tw Cen MT" w:cs="Tw Cen MT"/>
                <w:b/>
                <w:bCs/>
                <w:color w:val="0063A3"/>
                <w:sz w:val="20"/>
                <w:szCs w:val="20"/>
              </w:rPr>
              <w:t>osa.state.mn.us</w:t>
            </w:r>
            <w:r>
              <w:rPr>
                <w:rFonts w:ascii="Tw Cen MT" w:eastAsia="Tw Cen MT" w:hAnsi="Tw Cen MT" w:cs="Tw Cen MT"/>
                <w:b/>
                <w:bCs/>
                <w:color w:val="0063A3"/>
                <w:spacing w:val="22"/>
                <w:sz w:val="20"/>
                <w:szCs w:val="20"/>
              </w:rPr>
              <w:t xml:space="preserve"> </w:t>
            </w:r>
          </w:hyperlink>
          <w:r>
            <w:rPr>
              <w:rFonts w:ascii="Wingdings" w:eastAsia="Wingdings" w:hAnsi="Wingdings" w:cs="Wingdings"/>
              <w:color w:val="0063A3"/>
              <w:position w:val="1"/>
              <w:sz w:val="12"/>
              <w:szCs w:val="12"/>
            </w:rPr>
            <w:t></w:t>
          </w:r>
          <w:r>
            <w:rPr>
              <w:color w:val="0063A3"/>
              <w:spacing w:val="23"/>
              <w:position w:val="1"/>
              <w:sz w:val="12"/>
              <w:szCs w:val="12"/>
            </w:rPr>
            <w:t xml:space="preserve"> </w:t>
          </w:r>
          <w:hyperlink r:id="rId2">
            <w:r>
              <w:rPr>
                <w:rFonts w:ascii="Tw Cen MT" w:eastAsia="Tw Cen MT" w:hAnsi="Tw Cen MT" w:cs="Tw Cen MT"/>
                <w:b/>
                <w:bCs/>
                <w:color w:val="0063A3"/>
                <w:w w:val="99"/>
                <w:sz w:val="20"/>
                <w:szCs w:val="20"/>
              </w:rPr>
              <w:t>ww</w:t>
            </w:r>
            <w:r>
              <w:rPr>
                <w:rFonts w:ascii="Tw Cen MT" w:eastAsia="Tw Cen MT" w:hAnsi="Tw Cen MT" w:cs="Tw Cen MT"/>
                <w:b/>
                <w:bCs/>
                <w:color w:val="0063A3"/>
                <w:spacing w:val="-18"/>
                <w:w w:val="99"/>
                <w:sz w:val="20"/>
                <w:szCs w:val="20"/>
              </w:rPr>
              <w:t>w</w:t>
            </w:r>
            <w:r>
              <w:rPr>
                <w:rFonts w:ascii="Tw Cen MT" w:eastAsia="Tw Cen MT" w:hAnsi="Tw Cen MT" w:cs="Tw Cen MT"/>
                <w:b/>
                <w:bCs/>
                <w:color w:val="0063A3"/>
                <w:w w:val="99"/>
                <w:sz w:val="20"/>
                <w:szCs w:val="20"/>
              </w:rPr>
              <w:t>.osa.st</w:t>
            </w:r>
            <w:r>
              <w:rPr>
                <w:rFonts w:ascii="Tw Cen MT" w:eastAsia="Tw Cen MT" w:hAnsi="Tw Cen MT" w:cs="Tw Cen MT"/>
                <w:b/>
                <w:bCs/>
                <w:color w:val="0063A3"/>
                <w:spacing w:val="4"/>
                <w:w w:val="99"/>
                <w:sz w:val="20"/>
                <w:szCs w:val="20"/>
              </w:rPr>
              <w:t>a</w:t>
            </w:r>
            <w:r>
              <w:rPr>
                <w:rFonts w:ascii="Tw Cen MT" w:eastAsia="Tw Cen MT" w:hAnsi="Tw Cen MT" w:cs="Tw Cen MT"/>
                <w:b/>
                <w:bCs/>
                <w:color w:val="0063A3"/>
                <w:w w:val="99"/>
                <w:sz w:val="20"/>
                <w:szCs w:val="20"/>
              </w:rPr>
              <w:t>t</w:t>
            </w:r>
            <w:r>
              <w:rPr>
                <w:rFonts w:ascii="Tw Cen MT" w:eastAsia="Tw Cen MT" w:hAnsi="Tw Cen MT" w:cs="Tw Cen MT"/>
                <w:b/>
                <w:bCs/>
                <w:color w:val="0063A3"/>
                <w:sz w:val="20"/>
                <w:szCs w:val="20"/>
              </w:rPr>
              <w:t>e</w:t>
            </w:r>
            <w:r>
              <w:rPr>
                <w:rFonts w:ascii="Tw Cen MT" w:eastAsia="Tw Cen MT" w:hAnsi="Tw Cen MT" w:cs="Tw Cen MT"/>
                <w:b/>
                <w:bCs/>
                <w:color w:val="0063A3"/>
                <w:w w:val="99"/>
                <w:sz w:val="20"/>
                <w:szCs w:val="20"/>
              </w:rPr>
              <w:t>.mn.us</w:t>
            </w:r>
          </w:hyperlink>
        </w:p>
        <w:p w:rsidR="001D4B53" w:rsidRPr="00B50788" w:rsidRDefault="001D4B53" w:rsidP="001D4B53">
          <w:pPr>
            <w:spacing w:before="40"/>
            <w:ind w:left="4204" w:right="4092"/>
            <w:jc w:val="center"/>
            <w:rPr>
              <w:rFonts w:ascii="Tw Cen MT" w:eastAsia="Tw Cen MT" w:hAnsi="Tw Cen MT" w:cs="Tw Cen MT"/>
              <w:sz w:val="20"/>
              <w:szCs w:val="20"/>
            </w:rPr>
          </w:pPr>
          <w:r>
            <w:rPr>
              <w:rFonts w:ascii="Tw Cen MT" w:eastAsia="Tw Cen MT" w:hAnsi="Tw Cen MT" w:cs="Tw Cen MT"/>
              <w:b/>
              <w:bCs/>
              <w:color w:val="0063A3"/>
              <w:sz w:val="20"/>
              <w:szCs w:val="20"/>
            </w:rPr>
            <w:t>An equal opportunity employer</w:t>
          </w:r>
        </w:p>
      </w:tc>
    </w:tr>
  </w:tbl>
  <w:p w:rsidR="001D4B53" w:rsidRPr="00740EFB" w:rsidRDefault="001D4B53" w:rsidP="001D4B53">
    <w:pPr>
      <w:pStyle w:val="Foo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2D1" w:rsidRDefault="000662D1" w:rsidP="00740EFB">
      <w:r>
        <w:separator/>
      </w:r>
    </w:p>
  </w:footnote>
  <w:footnote w:type="continuationSeparator" w:id="0">
    <w:p w:rsidR="000662D1" w:rsidRDefault="000662D1" w:rsidP="0074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5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6716"/>
      <w:gridCol w:w="2269"/>
    </w:tblGrid>
    <w:tr w:rsidR="001D4B53" w:rsidTr="00C01B1E">
      <w:trPr>
        <w:trHeight w:val="1700"/>
      </w:trPr>
      <w:tc>
        <w:tcPr>
          <w:tcW w:w="2246" w:type="dxa"/>
          <w:vAlign w:val="bottom"/>
        </w:tcPr>
        <w:p w:rsidR="001D4B53" w:rsidRDefault="001D4B53" w:rsidP="001D4B53">
          <w:pPr>
            <w:spacing w:line="331" w:lineRule="exact"/>
            <w:ind w:left="100" w:right="-53"/>
            <w:rPr>
              <w:rFonts w:ascii="Tw Cen MT" w:eastAsia="Tw Cen MT" w:hAnsi="Tw Cen MT" w:cs="Tw Cen MT"/>
              <w:sz w:val="32"/>
              <w:szCs w:val="32"/>
            </w:rPr>
          </w:pPr>
          <w:r>
            <w:rPr>
              <w:rFonts w:ascii="Tw Cen MT" w:eastAsia="Tw Cen MT" w:hAnsi="Tw Cen MT" w:cs="Tw Cen MT"/>
              <w:b/>
              <w:bCs/>
              <w:color w:val="0063A3"/>
              <w:position w:val="-1"/>
              <w:sz w:val="32"/>
              <w:szCs w:val="32"/>
            </w:rPr>
            <w:t>Julie</w:t>
          </w:r>
          <w:r>
            <w:rPr>
              <w:rFonts w:ascii="Tw Cen MT" w:eastAsia="Tw Cen MT" w:hAnsi="Tw Cen MT" w:cs="Tw Cen MT"/>
              <w:b/>
              <w:bCs/>
              <w:color w:val="0063A3"/>
              <w:spacing w:val="-6"/>
              <w:position w:val="-1"/>
              <w:sz w:val="32"/>
              <w:szCs w:val="32"/>
            </w:rPr>
            <w:t xml:space="preserve"> </w:t>
          </w:r>
          <w:proofErr w:type="spellStart"/>
          <w:r>
            <w:rPr>
              <w:rFonts w:ascii="Tw Cen MT" w:eastAsia="Tw Cen MT" w:hAnsi="Tw Cen MT" w:cs="Tw Cen MT"/>
              <w:b/>
              <w:bCs/>
              <w:color w:val="0063A3"/>
              <w:position w:val="-1"/>
              <w:sz w:val="32"/>
              <w:szCs w:val="32"/>
            </w:rPr>
            <w:t>Blaha</w:t>
          </w:r>
          <w:proofErr w:type="spellEnd"/>
        </w:p>
        <w:p w:rsidR="001D4B53" w:rsidRPr="00B50788" w:rsidRDefault="001D4B53" w:rsidP="001D4B53">
          <w:pPr>
            <w:spacing w:line="263" w:lineRule="exact"/>
            <w:ind w:left="100" w:right="-82"/>
            <w:rPr>
              <w:rFonts w:ascii="Tw Cen MT" w:eastAsia="Tw Cen MT" w:hAnsi="Tw Cen MT" w:cs="Tw Cen MT"/>
              <w:sz w:val="28"/>
              <w:szCs w:val="28"/>
            </w:rPr>
          </w:pPr>
          <w:r>
            <w:rPr>
              <w:rFonts w:ascii="Tw Cen MT" w:eastAsia="Tw Cen MT" w:hAnsi="Tw Cen MT" w:cs="Tw Cen MT"/>
              <w:b/>
              <w:bCs/>
              <w:color w:val="0063A3"/>
              <w:position w:val="1"/>
              <w:sz w:val="28"/>
              <w:szCs w:val="28"/>
            </w:rPr>
            <w:t>St</w:t>
          </w:r>
          <w:r>
            <w:rPr>
              <w:rFonts w:ascii="Tw Cen MT" w:eastAsia="Tw Cen MT" w:hAnsi="Tw Cen MT" w:cs="Tw Cen MT"/>
              <w:b/>
              <w:bCs/>
              <w:color w:val="0063A3"/>
              <w:spacing w:val="6"/>
              <w:position w:val="1"/>
              <w:sz w:val="28"/>
              <w:szCs w:val="28"/>
            </w:rPr>
            <w:t>a</w:t>
          </w:r>
          <w:r>
            <w:rPr>
              <w:rFonts w:ascii="Tw Cen MT" w:eastAsia="Tw Cen MT" w:hAnsi="Tw Cen MT" w:cs="Tw Cen MT"/>
              <w:b/>
              <w:bCs/>
              <w:color w:val="0063A3"/>
              <w:position w:val="1"/>
              <w:sz w:val="28"/>
              <w:szCs w:val="28"/>
            </w:rPr>
            <w:t>te</w:t>
          </w:r>
          <w:r>
            <w:rPr>
              <w:rFonts w:ascii="Tw Cen MT" w:eastAsia="Tw Cen MT" w:hAnsi="Tw Cen MT" w:cs="Tw Cen MT"/>
              <w:b/>
              <w:bCs/>
              <w:color w:val="0063A3"/>
              <w:spacing w:val="-6"/>
              <w:position w:val="1"/>
              <w:sz w:val="28"/>
              <w:szCs w:val="28"/>
            </w:rPr>
            <w:t xml:space="preserve"> A</w:t>
          </w:r>
          <w:r>
            <w:rPr>
              <w:rFonts w:ascii="Tw Cen MT" w:eastAsia="Tw Cen MT" w:hAnsi="Tw Cen MT" w:cs="Tw Cen MT"/>
              <w:b/>
              <w:bCs/>
              <w:color w:val="0063A3"/>
              <w:position w:val="1"/>
              <w:sz w:val="28"/>
              <w:szCs w:val="28"/>
            </w:rPr>
            <w:t>uditor</w:t>
          </w:r>
        </w:p>
      </w:tc>
      <w:tc>
        <w:tcPr>
          <w:tcW w:w="6660" w:type="dxa"/>
        </w:tcPr>
        <w:p w:rsidR="001D4B53" w:rsidRDefault="001D4B53" w:rsidP="001D4B53">
          <w:pPr>
            <w:pStyle w:val="Header"/>
            <w:jc w:val="center"/>
            <w:rPr>
              <w:rFonts w:ascii="Tw Cen MT" w:eastAsia="Tw Cen MT" w:hAnsi="Tw Cen MT" w:cs="Tw Cen MT"/>
              <w:b/>
              <w:bCs/>
              <w:color w:val="0063A3"/>
              <w:w w:val="99"/>
              <w:sz w:val="30"/>
              <w:szCs w:val="30"/>
            </w:rPr>
          </w:pPr>
          <w:r>
            <w:rPr>
              <w:noProof/>
              <w:sz w:val="20"/>
              <w:szCs w:val="20"/>
            </w:rPr>
            <w:drawing>
              <wp:anchor distT="0" distB="0" distL="114300" distR="114300" simplePos="0" relativeHeight="251659264" behindDoc="1" locked="0" layoutInCell="1" allowOverlap="1" wp14:anchorId="32BF1B16" wp14:editId="687EE9F7">
                <wp:simplePos x="0" y="0"/>
                <wp:positionH relativeFrom="column">
                  <wp:posOffset>1424414</wp:posOffset>
                </wp:positionH>
                <wp:positionV relativeFrom="paragraph">
                  <wp:posOffset>248920</wp:posOffset>
                </wp:positionV>
                <wp:extent cx="1297940" cy="918845"/>
                <wp:effectExtent l="0" t="0" r="0" b="0"/>
                <wp:wrapThrough wrapText="bothSides">
                  <wp:wrapPolygon edited="0">
                    <wp:start x="0" y="0"/>
                    <wp:lineTo x="0" y="21048"/>
                    <wp:lineTo x="21241" y="21048"/>
                    <wp:lineTo x="21241"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07 OSA_Blue_Gold_withNam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940" cy="918845"/>
                        </a:xfrm>
                        <a:prstGeom prst="rect">
                          <a:avLst/>
                        </a:prstGeom>
                      </pic:spPr>
                    </pic:pic>
                  </a:graphicData>
                </a:graphic>
                <wp14:sizeRelH relativeFrom="margin">
                  <wp14:pctWidth>0</wp14:pctWidth>
                </wp14:sizeRelH>
                <wp14:sizeRelV relativeFrom="margin">
                  <wp14:pctHeight>0</wp14:pctHeight>
                </wp14:sizeRelV>
              </wp:anchor>
            </w:drawing>
          </w:r>
          <w:r>
            <w:rPr>
              <w:rFonts w:ascii="Tw Cen MT" w:eastAsia="Tw Cen MT" w:hAnsi="Tw Cen MT" w:cs="Tw Cen MT"/>
              <w:b/>
              <w:bCs/>
              <w:color w:val="0063A3"/>
              <w:sz w:val="36"/>
              <w:szCs w:val="36"/>
            </w:rPr>
            <w:t>S</w:t>
          </w:r>
          <w:r>
            <w:rPr>
              <w:rFonts w:ascii="Tw Cen MT" w:eastAsia="Tw Cen MT" w:hAnsi="Tw Cen MT" w:cs="Tw Cen MT"/>
              <w:b/>
              <w:bCs/>
              <w:color w:val="0063A3"/>
              <w:spacing w:val="-21"/>
              <w:sz w:val="30"/>
              <w:szCs w:val="30"/>
            </w:rPr>
            <w:t>T</w:t>
          </w:r>
          <w:r>
            <w:rPr>
              <w:rFonts w:ascii="Tw Cen MT" w:eastAsia="Tw Cen MT" w:hAnsi="Tw Cen MT" w:cs="Tw Cen MT"/>
              <w:b/>
              <w:bCs/>
              <w:color w:val="0063A3"/>
              <w:spacing w:val="-18"/>
              <w:sz w:val="30"/>
              <w:szCs w:val="30"/>
            </w:rPr>
            <w:t>A</w:t>
          </w:r>
          <w:r>
            <w:rPr>
              <w:rFonts w:ascii="Tw Cen MT" w:eastAsia="Tw Cen MT" w:hAnsi="Tw Cen MT" w:cs="Tw Cen MT"/>
              <w:b/>
              <w:bCs/>
              <w:color w:val="0063A3"/>
              <w:sz w:val="30"/>
              <w:szCs w:val="30"/>
            </w:rPr>
            <w:t>TE</w:t>
          </w:r>
          <w:r>
            <w:rPr>
              <w:rFonts w:ascii="Tw Cen MT" w:eastAsia="Tw Cen MT" w:hAnsi="Tw Cen MT" w:cs="Tw Cen MT"/>
              <w:b/>
              <w:bCs/>
              <w:color w:val="0063A3"/>
              <w:spacing w:val="-2"/>
              <w:sz w:val="30"/>
              <w:szCs w:val="30"/>
            </w:rPr>
            <w:t xml:space="preserve"> </w:t>
          </w:r>
          <w:r>
            <w:rPr>
              <w:rFonts w:ascii="Tw Cen MT" w:eastAsia="Tw Cen MT" w:hAnsi="Tw Cen MT" w:cs="Tw Cen MT"/>
              <w:b/>
              <w:bCs/>
              <w:color w:val="0063A3"/>
              <w:sz w:val="30"/>
              <w:szCs w:val="30"/>
            </w:rPr>
            <w:t xml:space="preserve">OF </w:t>
          </w:r>
          <w:r>
            <w:rPr>
              <w:rFonts w:ascii="Tw Cen MT" w:eastAsia="Tw Cen MT" w:hAnsi="Tw Cen MT" w:cs="Tw Cen MT"/>
              <w:b/>
              <w:bCs/>
              <w:color w:val="0063A3"/>
              <w:w w:val="99"/>
              <w:sz w:val="36"/>
              <w:szCs w:val="36"/>
            </w:rPr>
            <w:t>M</w:t>
          </w:r>
          <w:r>
            <w:rPr>
              <w:rFonts w:ascii="Tw Cen MT" w:eastAsia="Tw Cen MT" w:hAnsi="Tw Cen MT" w:cs="Tw Cen MT"/>
              <w:b/>
              <w:bCs/>
              <w:color w:val="0063A3"/>
              <w:sz w:val="30"/>
              <w:szCs w:val="30"/>
            </w:rPr>
            <w:t>INNES</w:t>
          </w:r>
          <w:r>
            <w:rPr>
              <w:rFonts w:ascii="Tw Cen MT" w:eastAsia="Tw Cen MT" w:hAnsi="Tw Cen MT" w:cs="Tw Cen MT"/>
              <w:b/>
              <w:bCs/>
              <w:color w:val="0063A3"/>
              <w:spacing w:val="-3"/>
              <w:sz w:val="30"/>
              <w:szCs w:val="30"/>
            </w:rPr>
            <w:t>O</w:t>
          </w:r>
          <w:r>
            <w:rPr>
              <w:rFonts w:ascii="Tw Cen MT" w:eastAsia="Tw Cen MT" w:hAnsi="Tw Cen MT" w:cs="Tw Cen MT"/>
              <w:b/>
              <w:bCs/>
              <w:color w:val="0063A3"/>
              <w:spacing w:val="-21"/>
              <w:sz w:val="30"/>
              <w:szCs w:val="30"/>
            </w:rPr>
            <w:t>T</w:t>
          </w:r>
          <w:r>
            <w:rPr>
              <w:rFonts w:ascii="Tw Cen MT" w:eastAsia="Tw Cen MT" w:hAnsi="Tw Cen MT" w:cs="Tw Cen MT"/>
              <w:b/>
              <w:bCs/>
              <w:color w:val="0063A3"/>
              <w:w w:val="99"/>
              <w:sz w:val="30"/>
              <w:szCs w:val="30"/>
            </w:rPr>
            <w:t>A</w:t>
          </w:r>
        </w:p>
        <w:p w:rsidR="001D4B53" w:rsidRDefault="001D4B53" w:rsidP="001D4B53">
          <w:pPr>
            <w:pStyle w:val="Header"/>
            <w:jc w:val="center"/>
          </w:pPr>
        </w:p>
      </w:tc>
      <w:tc>
        <w:tcPr>
          <w:tcW w:w="2250" w:type="dxa"/>
          <w:vAlign w:val="bottom"/>
        </w:tcPr>
        <w:p w:rsidR="001D4B53" w:rsidRDefault="001D4B53" w:rsidP="001D4B53">
          <w:pPr>
            <w:spacing w:before="44"/>
            <w:ind w:right="-20"/>
            <w:rPr>
              <w:rFonts w:ascii="Tw Cen MT" w:eastAsia="Tw Cen MT" w:hAnsi="Tw Cen MT" w:cs="Tw Cen MT"/>
            </w:rPr>
          </w:pPr>
          <w:r>
            <w:rPr>
              <w:rFonts w:ascii="Tw Cen MT" w:eastAsia="Tw Cen MT" w:hAnsi="Tw Cen MT" w:cs="Tw Cen MT"/>
              <w:b/>
              <w:bCs/>
              <w:color w:val="0063A3"/>
            </w:rPr>
            <w:t>Suite</w:t>
          </w:r>
          <w:r>
            <w:rPr>
              <w:rFonts w:ascii="Tw Cen MT" w:eastAsia="Tw Cen MT" w:hAnsi="Tw Cen MT" w:cs="Tw Cen MT"/>
              <w:b/>
              <w:bCs/>
              <w:color w:val="0063A3"/>
              <w:spacing w:val="-4"/>
            </w:rPr>
            <w:t xml:space="preserve"> </w:t>
          </w:r>
          <w:r>
            <w:rPr>
              <w:rFonts w:ascii="Tw Cen MT" w:eastAsia="Tw Cen MT" w:hAnsi="Tw Cen MT" w:cs="Tw Cen MT"/>
              <w:b/>
              <w:bCs/>
              <w:color w:val="0063A3"/>
            </w:rPr>
            <w:t>500</w:t>
          </w:r>
        </w:p>
        <w:p w:rsidR="001D4B53" w:rsidRDefault="001D4B53" w:rsidP="001D4B53">
          <w:pPr>
            <w:ind w:right="-20"/>
            <w:rPr>
              <w:rFonts w:ascii="Tw Cen MT" w:eastAsia="Tw Cen MT" w:hAnsi="Tw Cen MT" w:cs="Tw Cen MT"/>
            </w:rPr>
          </w:pPr>
          <w:r>
            <w:rPr>
              <w:rFonts w:ascii="Tw Cen MT" w:eastAsia="Tw Cen MT" w:hAnsi="Tw Cen MT" w:cs="Tw Cen MT"/>
              <w:b/>
              <w:bCs/>
              <w:color w:val="0063A3"/>
            </w:rPr>
            <w:t>525</w:t>
          </w:r>
          <w:r>
            <w:rPr>
              <w:rFonts w:ascii="Tw Cen MT" w:eastAsia="Tw Cen MT" w:hAnsi="Tw Cen MT" w:cs="Tw Cen MT"/>
              <w:b/>
              <w:bCs/>
              <w:color w:val="0063A3"/>
              <w:spacing w:val="-3"/>
            </w:rPr>
            <w:t xml:space="preserve"> </w:t>
          </w:r>
          <w:r>
            <w:rPr>
              <w:rFonts w:ascii="Tw Cen MT" w:eastAsia="Tw Cen MT" w:hAnsi="Tw Cen MT" w:cs="Tw Cen MT"/>
              <w:b/>
              <w:bCs/>
              <w:color w:val="0063A3"/>
              <w:spacing w:val="-11"/>
            </w:rPr>
            <w:t>P</w:t>
          </w:r>
          <w:r>
            <w:rPr>
              <w:rFonts w:ascii="Tw Cen MT" w:eastAsia="Tw Cen MT" w:hAnsi="Tw Cen MT" w:cs="Tw Cen MT"/>
              <w:b/>
              <w:bCs/>
              <w:color w:val="0063A3"/>
            </w:rPr>
            <w:t>a</w:t>
          </w:r>
          <w:r>
            <w:rPr>
              <w:rFonts w:ascii="Tw Cen MT" w:eastAsia="Tw Cen MT" w:hAnsi="Tw Cen MT" w:cs="Tw Cen MT"/>
              <w:b/>
              <w:bCs/>
              <w:color w:val="0063A3"/>
              <w:spacing w:val="2"/>
            </w:rPr>
            <w:t>r</w:t>
          </w:r>
          <w:r>
            <w:rPr>
              <w:rFonts w:ascii="Tw Cen MT" w:eastAsia="Tw Cen MT" w:hAnsi="Tw Cen MT" w:cs="Tw Cen MT"/>
              <w:b/>
              <w:bCs/>
              <w:color w:val="0063A3"/>
            </w:rPr>
            <w:t>k</w:t>
          </w:r>
          <w:r>
            <w:rPr>
              <w:rFonts w:ascii="Tw Cen MT" w:eastAsia="Tw Cen MT" w:hAnsi="Tw Cen MT" w:cs="Tw Cen MT"/>
              <w:b/>
              <w:bCs/>
              <w:color w:val="0063A3"/>
              <w:spacing w:val="-3"/>
            </w:rPr>
            <w:t xml:space="preserve"> </w:t>
          </w:r>
          <w:r>
            <w:rPr>
              <w:rFonts w:ascii="Tw Cen MT" w:eastAsia="Tw Cen MT" w:hAnsi="Tw Cen MT" w:cs="Tw Cen MT"/>
              <w:b/>
              <w:bCs/>
              <w:color w:val="0063A3"/>
            </w:rPr>
            <w:t>St</w:t>
          </w:r>
          <w:r>
            <w:rPr>
              <w:rFonts w:ascii="Tw Cen MT" w:eastAsia="Tw Cen MT" w:hAnsi="Tw Cen MT" w:cs="Tw Cen MT"/>
              <w:b/>
              <w:bCs/>
              <w:color w:val="0063A3"/>
              <w:spacing w:val="4"/>
            </w:rPr>
            <w:t>r</w:t>
          </w:r>
          <w:r>
            <w:rPr>
              <w:rFonts w:ascii="Tw Cen MT" w:eastAsia="Tw Cen MT" w:hAnsi="Tw Cen MT" w:cs="Tw Cen MT"/>
              <w:b/>
              <w:bCs/>
              <w:color w:val="0063A3"/>
            </w:rPr>
            <w:t>eet</w:t>
          </w:r>
        </w:p>
        <w:p w:rsidR="001D4B53" w:rsidRDefault="001D4B53" w:rsidP="001D4B53">
          <w:pPr>
            <w:pStyle w:val="Header"/>
          </w:pPr>
          <w:r>
            <w:rPr>
              <w:rFonts w:ascii="Tw Cen MT" w:eastAsia="Tw Cen MT" w:hAnsi="Tw Cen MT" w:cs="Tw Cen MT"/>
              <w:b/>
              <w:bCs/>
              <w:color w:val="0063A3"/>
            </w:rPr>
            <w:t>Saint</w:t>
          </w:r>
          <w:r>
            <w:rPr>
              <w:rFonts w:ascii="Tw Cen MT" w:eastAsia="Tw Cen MT" w:hAnsi="Tw Cen MT" w:cs="Tw Cen MT"/>
              <w:b/>
              <w:bCs/>
              <w:color w:val="0063A3"/>
              <w:spacing w:val="-5"/>
            </w:rPr>
            <w:t xml:space="preserve"> </w:t>
          </w:r>
          <w:r>
            <w:rPr>
              <w:rFonts w:ascii="Tw Cen MT" w:eastAsia="Tw Cen MT" w:hAnsi="Tw Cen MT" w:cs="Tw Cen MT"/>
              <w:b/>
              <w:bCs/>
              <w:color w:val="0063A3"/>
              <w:spacing w:val="-11"/>
            </w:rPr>
            <w:t>P</w:t>
          </w:r>
          <w:r>
            <w:rPr>
              <w:rFonts w:ascii="Tw Cen MT" w:eastAsia="Tw Cen MT" w:hAnsi="Tw Cen MT" w:cs="Tw Cen MT"/>
              <w:b/>
              <w:bCs/>
              <w:color w:val="0063A3"/>
            </w:rPr>
            <w:t>aul,</w:t>
          </w:r>
          <w:r>
            <w:rPr>
              <w:rFonts w:ascii="Tw Cen MT" w:eastAsia="Tw Cen MT" w:hAnsi="Tw Cen MT" w:cs="Tw Cen MT"/>
              <w:b/>
              <w:bCs/>
              <w:color w:val="0063A3"/>
              <w:spacing w:val="-5"/>
            </w:rPr>
            <w:t xml:space="preserve"> </w:t>
          </w:r>
          <w:r>
            <w:rPr>
              <w:rFonts w:ascii="Tw Cen MT" w:eastAsia="Tw Cen MT" w:hAnsi="Tw Cen MT" w:cs="Tw Cen MT"/>
              <w:b/>
              <w:bCs/>
              <w:color w:val="0063A3"/>
            </w:rPr>
            <w:t>MN</w:t>
          </w:r>
          <w:r>
            <w:rPr>
              <w:rFonts w:ascii="Tw Cen MT" w:eastAsia="Tw Cen MT" w:hAnsi="Tw Cen MT" w:cs="Tw Cen MT"/>
              <w:b/>
              <w:bCs/>
              <w:color w:val="0063A3"/>
              <w:spacing w:val="-3"/>
            </w:rPr>
            <w:t xml:space="preserve"> </w:t>
          </w:r>
          <w:r>
            <w:rPr>
              <w:rFonts w:ascii="Tw Cen MT" w:eastAsia="Tw Cen MT" w:hAnsi="Tw Cen MT" w:cs="Tw Cen MT"/>
              <w:b/>
              <w:bCs/>
              <w:color w:val="0063A3"/>
            </w:rPr>
            <w:t>55103</w:t>
          </w:r>
        </w:p>
      </w:tc>
    </w:tr>
  </w:tbl>
  <w:p w:rsidR="001D4B53" w:rsidRDefault="001D4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118DA"/>
    <w:multiLevelType w:val="hybridMultilevel"/>
    <w:tmpl w:val="2D7401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FB"/>
    <w:rsid w:val="000662D1"/>
    <w:rsid w:val="000B0957"/>
    <w:rsid w:val="001D4B53"/>
    <w:rsid w:val="002535A1"/>
    <w:rsid w:val="004C5D25"/>
    <w:rsid w:val="005626FC"/>
    <w:rsid w:val="005A65DA"/>
    <w:rsid w:val="006E5339"/>
    <w:rsid w:val="00740EFB"/>
    <w:rsid w:val="008953C4"/>
    <w:rsid w:val="00931A59"/>
    <w:rsid w:val="009839FE"/>
    <w:rsid w:val="009A7A3C"/>
    <w:rsid w:val="00B50788"/>
    <w:rsid w:val="00B80026"/>
    <w:rsid w:val="00BD1660"/>
    <w:rsid w:val="00D84B60"/>
    <w:rsid w:val="00F2331A"/>
    <w:rsid w:val="00F85D73"/>
    <w:rsid w:val="00F93EE4"/>
    <w:rsid w:val="00FC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4B9D37"/>
  <w15:chartTrackingRefBased/>
  <w15:docId w15:val="{98049D79-7219-4977-8336-756ED5B6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0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839FE"/>
    <w:pPr>
      <w:keepNext/>
      <w:widowControl w:val="0"/>
      <w:autoSpaceDE w:val="0"/>
      <w:autoSpaceDN w:val="0"/>
      <w:adjustRightInd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EF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40EFB"/>
  </w:style>
  <w:style w:type="paragraph" w:styleId="Footer">
    <w:name w:val="footer"/>
    <w:basedOn w:val="Normal"/>
    <w:link w:val="FooterChar"/>
    <w:uiPriority w:val="99"/>
    <w:unhideWhenUsed/>
    <w:rsid w:val="00740EF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40EFB"/>
  </w:style>
  <w:style w:type="table" w:styleId="TableGrid">
    <w:name w:val="Table Grid"/>
    <w:basedOn w:val="TableNormal"/>
    <w:uiPriority w:val="39"/>
    <w:rsid w:val="007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788"/>
    <w:pPr>
      <w:widowControl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50788"/>
    <w:rPr>
      <w:rFonts w:ascii="Tahoma" w:hAnsi="Tahoma" w:cs="Tahoma"/>
      <w:sz w:val="16"/>
      <w:szCs w:val="16"/>
    </w:rPr>
  </w:style>
  <w:style w:type="character" w:customStyle="1" w:styleId="Heading1Char">
    <w:name w:val="Heading 1 Char"/>
    <w:basedOn w:val="DefaultParagraphFont"/>
    <w:link w:val="Heading1"/>
    <w:uiPriority w:val="99"/>
    <w:rsid w:val="009839FE"/>
    <w:rPr>
      <w:rFonts w:ascii="Times New Roman" w:eastAsia="Times New Roman" w:hAnsi="Times New Roman" w:cs="Times New Roman"/>
      <w:sz w:val="24"/>
      <w:szCs w:val="24"/>
    </w:rPr>
  </w:style>
  <w:style w:type="paragraph" w:styleId="BodyText2">
    <w:name w:val="Body Text 2"/>
    <w:basedOn w:val="Normal"/>
    <w:link w:val="BodyText2Char"/>
    <w:uiPriority w:val="99"/>
    <w:rsid w:val="009839FE"/>
    <w:pPr>
      <w:widowControl w:val="0"/>
      <w:autoSpaceDE w:val="0"/>
      <w:autoSpaceDN w:val="0"/>
      <w:adjustRightInd w:val="0"/>
      <w:ind w:left="360"/>
    </w:pPr>
  </w:style>
  <w:style w:type="character" w:customStyle="1" w:styleId="BodyText2Char">
    <w:name w:val="Body Text 2 Char"/>
    <w:basedOn w:val="DefaultParagraphFont"/>
    <w:link w:val="BodyText2"/>
    <w:uiPriority w:val="99"/>
    <w:rsid w:val="009839FE"/>
    <w:rPr>
      <w:rFonts w:ascii="Times New Roman" w:eastAsia="Times New Roman" w:hAnsi="Times New Roman" w:cs="Times New Roman"/>
      <w:sz w:val="24"/>
      <w:szCs w:val="24"/>
    </w:rPr>
  </w:style>
  <w:style w:type="paragraph" w:styleId="ListParagraph">
    <w:name w:val="List Paragraph"/>
    <w:basedOn w:val="Normal"/>
    <w:uiPriority w:val="34"/>
    <w:qFormat/>
    <w:rsid w:val="009839FE"/>
    <w:pPr>
      <w:widowControl w:val="0"/>
      <w:autoSpaceDE w:val="0"/>
      <w:autoSpaceDN w:val="0"/>
      <w:adjustRightInd w:val="0"/>
      <w:ind w:left="720"/>
    </w:pPr>
    <w:rPr>
      <w:sz w:val="20"/>
      <w:szCs w:val="20"/>
    </w:rPr>
  </w:style>
  <w:style w:type="character" w:styleId="Hyperlink">
    <w:name w:val="Hyperlink"/>
    <w:basedOn w:val="DefaultParagraphFont"/>
    <w:uiPriority w:val="99"/>
    <w:unhideWhenUsed/>
    <w:rsid w:val="009839FE"/>
    <w:rPr>
      <w:rFonts w:cs="Times New Roman"/>
      <w:color w:val="0563C1" w:themeColor="hyperlink"/>
      <w:u w:val="single"/>
    </w:rPr>
  </w:style>
  <w:style w:type="character" w:styleId="FollowedHyperlink">
    <w:name w:val="FollowedHyperlink"/>
    <w:basedOn w:val="DefaultParagraphFont"/>
    <w:uiPriority w:val="99"/>
    <w:semiHidden/>
    <w:unhideWhenUsed/>
    <w:rsid w:val="00BD1660"/>
    <w:rPr>
      <w:color w:val="954F72" w:themeColor="followedHyperlink"/>
      <w:u w:val="single"/>
    </w:rPr>
  </w:style>
  <w:style w:type="paragraph" w:styleId="NormalWeb">
    <w:name w:val="Normal (Web)"/>
    <w:basedOn w:val="Normal"/>
    <w:rsid w:val="00B80026"/>
    <w:pPr>
      <w:spacing w:before="100" w:beforeAutospacing="1" w:after="100" w:afterAutospacing="1"/>
    </w:pPr>
  </w:style>
  <w:style w:type="character" w:styleId="Strong">
    <w:name w:val="Strong"/>
    <w:qFormat/>
    <w:rsid w:val="00B800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osa.state.mn.us/" TargetMode="External"/><Relationship Id="rId1" Type="http://schemas.openxmlformats.org/officeDocument/2006/relationships/hyperlink" Target="mailto:State.Auditor@osa.state.mn.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MN Office of the State Auditor</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Lindemann</dc:creator>
  <cp:keywords/>
  <dc:description/>
  <cp:lastModifiedBy>Robin Paulsen</cp:lastModifiedBy>
  <cp:revision>4</cp:revision>
  <dcterms:created xsi:type="dcterms:W3CDTF">2021-09-07T19:20:00Z</dcterms:created>
  <dcterms:modified xsi:type="dcterms:W3CDTF">2021-09-07T19:51:00Z</dcterms:modified>
</cp:coreProperties>
</file>