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xml:space="preserve">, </w:t>
            </w:r>
            <w:proofErr w:type="spellStart"/>
            <w:r w:rsidR="00072FCD">
              <w:rPr>
                <w:sz w:val="20"/>
              </w:rPr>
              <w:t>subd</w:t>
            </w:r>
            <w:proofErr w:type="spellEnd"/>
            <w:r w:rsidR="00072FCD">
              <w:rPr>
                <w:sz w:val="20"/>
              </w:rPr>
              <w:t>.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8D588C" w:rsidRDefault="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bookmarkStart w:id="1" w:name="_GoBack"/>
      <w:bookmarkEnd w:id="1"/>
    </w:p>
    <w:p w:rsidR="008D588C" w:rsidRDefault="008D588C" w:rsidP="008D588C"/>
    <w:p w:rsidR="008D588C" w:rsidRPr="008D588C" w:rsidRDefault="008D588C" w:rsidP="008D588C"/>
    <w:p w:rsidR="008D588C" w:rsidRDefault="008D588C" w:rsidP="008D588C"/>
    <w:p w:rsidR="00780E0E" w:rsidRDefault="00780E0E" w:rsidP="00780E0E">
      <w:pPr>
        <w:ind w:firstLine="720"/>
      </w:pPr>
    </w:p>
    <w:p w:rsidR="00780E0E" w:rsidRDefault="00780E0E" w:rsidP="00780E0E"/>
    <w:p w:rsidR="005B69C8" w:rsidRPr="00780E0E" w:rsidRDefault="005B69C8" w:rsidP="00780E0E">
      <w:pPr>
        <w:sectPr w:rsidR="005B69C8" w:rsidRPr="00780E0E" w:rsidSect="00EE04A6">
          <w:footerReference w:type="default" r:id="rId8"/>
          <w:headerReference w:type="first" r:id="rId9"/>
          <w:pgSz w:w="12240" w:h="15840" w:code="1"/>
          <w:pgMar w:top="1080" w:right="720" w:bottom="720" w:left="720" w:header="720" w:footer="720" w:gutter="0"/>
          <w:pgNumType w:start="0"/>
          <w:cols w:space="720"/>
          <w:titlePg/>
          <w:docGrid w:linePitch="326"/>
        </w:sectPr>
      </w:pPr>
    </w:p>
    <w:p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Default="00F04B08">
            <w:pPr>
              <w:pStyle w:val="Header"/>
              <w:jc w:val="center"/>
              <w:rPr>
                <w:b/>
                <w:sz w:val="20"/>
                <w:szCs w:val="20"/>
              </w:rPr>
            </w:pPr>
            <w:r w:rsidRPr="005B69C8">
              <w:rPr>
                <w:b/>
                <w:sz w:val="20"/>
                <w:szCs w:val="20"/>
              </w:rPr>
              <w:t>indebtedness that were issued during this fiscal year:</w:t>
            </w:r>
          </w:p>
          <w:p w:rsidR="00EE04A6" w:rsidRPr="005B69C8" w:rsidRDefault="00EE04A6">
            <w:pPr>
              <w:pStyle w:val="Header"/>
              <w:jc w:val="cent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xml:space="preserve">, </w:t>
            </w:r>
            <w:proofErr w:type="spellStart"/>
            <w:r w:rsidR="00072FCD">
              <w:rPr>
                <w:sz w:val="20"/>
                <w:szCs w:val="20"/>
              </w:rPr>
              <w:t>subd</w:t>
            </w:r>
            <w:proofErr w:type="spellEnd"/>
            <w:r w:rsidR="00072FCD">
              <w:rPr>
                <w:sz w:val="20"/>
                <w:szCs w:val="20"/>
              </w:rPr>
              <w:t>.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xml:space="preserve">, </w:t>
            </w:r>
            <w:proofErr w:type="spellStart"/>
            <w:r w:rsidRPr="00F9020B">
              <w:rPr>
                <w:sz w:val="20"/>
              </w:rPr>
              <w:t>subd</w:t>
            </w:r>
            <w:proofErr w:type="spellEnd"/>
            <w:r w:rsidRPr="00F9020B">
              <w:rPr>
                <w:sz w:val="20"/>
              </w:rPr>
              <w:t>. 4) of the municipality not exceed the net debt limit as is applicable below:</w:t>
            </w:r>
          </w:p>
          <w:p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rsidR="00F04B08" w:rsidRPr="005B69C8" w:rsidRDefault="008F2D31">
            <w:pPr>
              <w:jc w:val="center"/>
              <w:rPr>
                <w:sz w:val="20"/>
                <w:szCs w:val="20"/>
              </w:rPr>
            </w:pPr>
            <w:proofErr w:type="spellStart"/>
            <w:r>
              <w:rPr>
                <w:sz w:val="20"/>
                <w:szCs w:val="20"/>
              </w:rPr>
              <w:t>subd</w:t>
            </w:r>
            <w:proofErr w:type="spellEnd"/>
            <w:r>
              <w:rPr>
                <w:sz w:val="20"/>
                <w:szCs w:val="20"/>
              </w:rPr>
              <w:t>.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proofErr w:type="spellStart"/>
            <w:r w:rsidRPr="005B69C8">
              <w:rPr>
                <w:rFonts w:ascii="Times New Roman" w:hAnsi="Times New Roman"/>
              </w:rPr>
              <w:t>subd</w:t>
            </w:r>
            <w:proofErr w:type="spellEnd"/>
            <w:r w:rsidRPr="005B69C8">
              <w:rPr>
                <w:rFonts w:ascii="Times New Roman" w:hAnsi="Times New Roman"/>
              </w:rPr>
              <w:t>.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any unpaid judgment against the municipality;</w:t>
            </w:r>
          </w:p>
          <w:p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B833E0" w:rsidRDefault="00B833E0">
      <w:r>
        <w:br w:type="page"/>
      </w:r>
    </w:p>
    <w:p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xml:space="preserve">, </w:t>
            </w:r>
            <w:proofErr w:type="spellStart"/>
            <w:r w:rsidRPr="00F9020B">
              <w:rPr>
                <w:sz w:val="20"/>
                <w:szCs w:val="20"/>
              </w:rPr>
              <w:t>subd</w:t>
            </w:r>
            <w:proofErr w:type="spellEnd"/>
            <w:r w:rsidRPr="00F9020B">
              <w:rPr>
                <w:sz w:val="20"/>
                <w:szCs w:val="20"/>
              </w:rPr>
              <w:t>. 6;</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xml:space="preserve">. 4g, para. (b); </w:t>
            </w:r>
          </w:p>
          <w:p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E33EB3" w:rsidRPr="005B69C8" w:rsidRDefault="00E33EB3" w:rsidP="00DD28B4">
            <w:pPr>
              <w:jc w:val="center"/>
              <w:rPr>
                <w:sz w:val="20"/>
                <w:szCs w:val="20"/>
              </w:rPr>
            </w:pPr>
            <w:proofErr w:type="spellStart"/>
            <w:r w:rsidRPr="005B69C8">
              <w:rPr>
                <w:sz w:val="20"/>
                <w:szCs w:val="20"/>
              </w:rPr>
              <w:t>subd</w:t>
            </w:r>
            <w:proofErr w:type="spellEnd"/>
            <w:r w:rsidRPr="005B69C8">
              <w:rPr>
                <w:sz w:val="20"/>
                <w:szCs w:val="20"/>
              </w:rPr>
              <w:t xml:space="preserve">. </w:t>
            </w:r>
            <w:r w:rsidR="00BA73CC">
              <w:rPr>
                <w:sz w:val="20"/>
                <w:szCs w:val="20"/>
              </w:rPr>
              <w:t>1(10)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3A67CF" w:rsidP="00871D82">
            <w:pPr>
              <w:pStyle w:val="Header"/>
              <w:rPr>
                <w:sz w:val="20"/>
                <w:szCs w:val="20"/>
              </w:rPr>
            </w:pPr>
            <w:proofErr w:type="spellStart"/>
            <w:r>
              <w:rPr>
                <w:sz w:val="20"/>
                <w:szCs w:val="20"/>
              </w:rPr>
              <w:t>i</w:t>
            </w:r>
            <w:proofErr w:type="spellEnd"/>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w:t>
            </w:r>
            <w:proofErr w:type="spellStart"/>
            <w:r w:rsidRPr="00E33EB3">
              <w:rPr>
                <w:sz w:val="20"/>
                <w:szCs w:val="20"/>
              </w:rPr>
              <w:t>subd</w:t>
            </w:r>
            <w:proofErr w:type="spellEnd"/>
            <w:r w:rsidRPr="00E33EB3">
              <w:rPr>
                <w:sz w:val="20"/>
                <w:szCs w:val="20"/>
              </w:rPr>
              <w:t xml:space="preserve">.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xml:space="preserve">, </w:t>
            </w:r>
            <w:proofErr w:type="spellStart"/>
            <w:r w:rsidRPr="00F40F4A">
              <w:rPr>
                <w:sz w:val="20"/>
              </w:rPr>
              <w:t>subd</w:t>
            </w:r>
            <w:proofErr w:type="spellEnd"/>
            <w:r w:rsidRPr="00F40F4A">
              <w:rPr>
                <w:sz w:val="20"/>
              </w:rPr>
              <w:t>. 2b (insurance continuation); and</w:t>
            </w:r>
          </w:p>
          <w:p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xml:space="preserve">, </w:t>
            </w:r>
            <w:proofErr w:type="spellStart"/>
            <w:r w:rsidR="0091141D">
              <w:rPr>
                <w:bCs/>
                <w:sz w:val="20"/>
                <w:szCs w:val="20"/>
              </w:rPr>
              <w:t>subd</w:t>
            </w:r>
            <w:proofErr w:type="spellEnd"/>
            <w:r w:rsidR="0091141D">
              <w:rPr>
                <w:bCs/>
                <w:sz w:val="20"/>
                <w:szCs w:val="20"/>
              </w:rPr>
              <w:t>. 3b met?</w:t>
            </w: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subds</w:t>
            </w:r>
            <w:proofErr w:type="spellEnd"/>
            <w:r w:rsidRPr="005B69C8">
              <w:rPr>
                <w:sz w:val="20"/>
                <w:szCs w:val="20"/>
              </w:rPr>
              <w:t>.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w:t>
            </w:r>
          </w:p>
          <w:p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6164"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3A67CF" w:rsidRPr="005B69C8" w:rsidTr="003A67CF">
        <w:trPr>
          <w:cantSplit/>
        </w:trPr>
        <w:tc>
          <w:tcPr>
            <w:tcW w:w="11088" w:type="dxa"/>
            <w:gridSpan w:val="8"/>
            <w:tcBorders>
              <w:top w:val="single" w:sz="4" w:space="0" w:color="auto"/>
              <w:bottom w:val="single" w:sz="4" w:space="0" w:color="auto"/>
            </w:tcBorders>
          </w:tcPr>
          <w:p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are they payable in not more than ten years?</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546BE0"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rsidR="00546BE0"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Note exception:  If certificates were issued for projects to eliminate R-22 (refrigerant in ice making systems in existing public facilities) as defined in Minn. Stat. § 240A.09 paragraph (b) clause (2), then they must be payable in no more than 20 years.</w:t>
            </w:r>
          </w:p>
          <w:p w:rsidR="00546BE0" w:rsidRPr="005B69C8"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546BE0"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46BE0" w:rsidRDefault="00546BE0">
      <w:r>
        <w:br w:type="page"/>
      </w:r>
    </w:p>
    <w:p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14" w:type="dxa"/>
            <w:tcBorders>
              <w:top w:val="single" w:sz="4" w:space="0" w:color="auto"/>
              <w:bottom w:val="single" w:sz="4" w:space="0" w:color="auto"/>
            </w:tcBorders>
          </w:tcPr>
          <w:p w:rsidR="00F04B08" w:rsidRPr="005B69C8" w:rsidRDefault="00F04B08">
            <w:pPr>
              <w:pStyle w:val="Header"/>
              <w:rPr>
                <w:sz w:val="20"/>
                <w:szCs w:val="20"/>
              </w:rPr>
            </w:pPr>
          </w:p>
        </w:tc>
        <w:tc>
          <w:tcPr>
            <w:tcW w:w="550" w:type="dxa"/>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43CD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rsidR="00543CD8" w:rsidRDefault="00543CD8" w:rsidP="002107F2">
            <w:pPr>
              <w:pStyle w:val="Header"/>
              <w:rPr>
                <w:sz w:val="20"/>
                <w:szCs w:val="20"/>
              </w:rPr>
            </w:pPr>
            <w:r w:rsidRPr="009A45BD">
              <w:rPr>
                <w:sz w:val="20"/>
                <w:szCs w:val="20"/>
              </w:rPr>
              <w:t xml:space="preserve">EMERGENCY DEBT CERTIFICATES </w:t>
            </w:r>
          </w:p>
          <w:p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r>
      <w:tr w:rsidR="009A45BD"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rsidR="009A45BD" w:rsidRPr="009A45BD" w:rsidRDefault="009A45BD" w:rsidP="009A45BD">
            <w:pPr>
              <w:pStyle w:val="Header"/>
              <w:rPr>
                <w:sz w:val="20"/>
                <w:szCs w:val="20"/>
              </w:rPr>
            </w:pPr>
          </w:p>
          <w:p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 xml:space="preserve">n under section 275.70, </w:t>
            </w:r>
            <w:proofErr w:type="spellStart"/>
            <w:r w:rsidR="00DD28B4">
              <w:rPr>
                <w:sz w:val="20"/>
                <w:szCs w:val="20"/>
              </w:rPr>
              <w:t>subd</w:t>
            </w:r>
            <w:proofErr w:type="spellEnd"/>
            <w:r w:rsidR="00DD28B4">
              <w:rPr>
                <w:sz w:val="20"/>
                <w:szCs w:val="20"/>
              </w:rPr>
              <w:t>. 5</w:t>
            </w:r>
            <w:r w:rsidRPr="002E2A20">
              <w:rPr>
                <w:sz w:val="20"/>
                <w:szCs w:val="20"/>
              </w:rPr>
              <w:t>(22), or a similar or successor provision</w:t>
            </w:r>
            <w:r>
              <w:rPr>
                <w:sz w:val="20"/>
                <w:szCs w:val="20"/>
              </w:rPr>
              <w:t xml:space="preserve">; </w:t>
            </w:r>
            <w:r>
              <w:rPr>
                <w:sz w:val="20"/>
                <w:szCs w:val="20"/>
                <w:u w:val="single"/>
              </w:rPr>
              <w:t>and</w:t>
            </w:r>
          </w:p>
          <w:p w:rsidR="009C2907" w:rsidRDefault="009C2907" w:rsidP="009C2907">
            <w:pPr>
              <w:pStyle w:val="Header"/>
              <w:ind w:hanging="13"/>
              <w:rPr>
                <w:sz w:val="20"/>
                <w:szCs w:val="20"/>
                <w:u w:val="single"/>
              </w:rPr>
            </w:pPr>
          </w:p>
          <w:p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 xml:space="preserve">Minn. Stat. § 275.70, </w:t>
            </w:r>
            <w:proofErr w:type="spellStart"/>
            <w:r>
              <w:rPr>
                <w:sz w:val="20"/>
                <w:szCs w:val="20"/>
              </w:rPr>
              <w:t>subd</w:t>
            </w:r>
            <w:proofErr w:type="spellEnd"/>
            <w:r>
              <w:rPr>
                <w:sz w:val="20"/>
                <w:szCs w:val="20"/>
              </w:rPr>
              <w:t>.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bl>
    <w:p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9C2907" w:rsidRPr="00296FFF" w:rsidRDefault="009C2907">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bl>
    <w:p w:rsidR="009C2907" w:rsidRDefault="009C2907">
      <w:r>
        <w:br w:type="page"/>
      </w:r>
    </w:p>
    <w:p w:rsidR="007F3B7A" w:rsidRPr="007F3B7A" w:rsidRDefault="007F3B7A">
      <w:pPr>
        <w:rPr>
          <w:sz w:val="14"/>
          <w:szCs w:val="14"/>
        </w:rPr>
      </w:pPr>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C31587">
        <w:trPr>
          <w:cantSplit/>
        </w:trPr>
        <w:tc>
          <w:tcPr>
            <w:tcW w:w="11088"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C31587">
        <w:trPr>
          <w:cantSplit/>
        </w:trPr>
        <w:tc>
          <w:tcPr>
            <w:tcW w:w="11088" w:type="dxa"/>
            <w:gridSpan w:val="7"/>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325"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3E" w:rsidRDefault="008C163E">
      <w:r>
        <w:separator/>
      </w:r>
    </w:p>
  </w:endnote>
  <w:endnote w:type="continuationSeparator" w:id="0">
    <w:p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8D588C">
    <w:pPr>
      <w:pStyle w:val="Footer"/>
      <w:tabs>
        <w:tab w:val="clear" w:pos="4320"/>
        <w:tab w:val="clear" w:pos="8640"/>
        <w:tab w:val="center" w:pos="5040"/>
      </w:tabs>
      <w:rPr>
        <w:sz w:val="20"/>
        <w:szCs w:val="20"/>
      </w:rPr>
    </w:pPr>
    <w:r>
      <w:rPr>
        <w:sz w:val="20"/>
        <w:szCs w:val="20"/>
      </w:rPr>
      <w:t>0</w:t>
    </w:r>
    <w:r w:rsidR="00D93172">
      <w:rPr>
        <w:sz w:val="20"/>
        <w:szCs w:val="20"/>
      </w:rPr>
      <w:t>2</w:t>
    </w:r>
    <w:r w:rsidR="00AD25AC">
      <w:rPr>
        <w:sz w:val="20"/>
        <w:szCs w:val="20"/>
      </w:rPr>
      <w:t>/20</w:t>
    </w:r>
    <w:r>
      <w:rPr>
        <w:sz w:val="20"/>
        <w:szCs w:val="20"/>
      </w:rPr>
      <w:t>2</w:t>
    </w:r>
    <w:r w:rsidR="00780E0E">
      <w:rPr>
        <w:sz w:val="20"/>
        <w:szCs w:val="20"/>
      </w:rPr>
      <w:t>2</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80E0E">
      <w:rPr>
        <w:rStyle w:val="PageNumber"/>
        <w:noProof/>
        <w:sz w:val="20"/>
        <w:szCs w:val="20"/>
      </w:rPr>
      <w:t>8</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3E" w:rsidRDefault="008C163E">
      <w:r>
        <w:separator/>
      </w:r>
    </w:p>
  </w:footnote>
  <w:footnote w:type="continuationSeparator" w:id="0">
    <w:p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rsidTr="00EF56C2">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smartTag w:uri="urn:schemas-microsoft-com:office:smarttags" w:element="place">
            <w:smartTag w:uri="urn:schemas-microsoft-com:office:smarttags" w:element="Stat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roofErr w:type="spellStart"/>
          <w:r w:rsidRPr="005B69C8">
            <w:rPr>
              <w:sz w:val="20"/>
              <w:szCs w:val="20"/>
            </w:rPr>
            <w:t>Workpaper</w:t>
          </w:r>
          <w:proofErr w:type="spellEnd"/>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7878"/>
    <w:rsid w:val="002E2A20"/>
    <w:rsid w:val="0031365B"/>
    <w:rsid w:val="00320397"/>
    <w:rsid w:val="00337F2D"/>
    <w:rsid w:val="00376890"/>
    <w:rsid w:val="003A0AD8"/>
    <w:rsid w:val="003A67CF"/>
    <w:rsid w:val="003D3F86"/>
    <w:rsid w:val="004229FB"/>
    <w:rsid w:val="00433ACA"/>
    <w:rsid w:val="00457CB8"/>
    <w:rsid w:val="004753F4"/>
    <w:rsid w:val="004869B6"/>
    <w:rsid w:val="004A5875"/>
    <w:rsid w:val="004D1985"/>
    <w:rsid w:val="00506B2D"/>
    <w:rsid w:val="005303E3"/>
    <w:rsid w:val="00543CD8"/>
    <w:rsid w:val="00546BE0"/>
    <w:rsid w:val="00565D6F"/>
    <w:rsid w:val="0057609A"/>
    <w:rsid w:val="005B2646"/>
    <w:rsid w:val="005B69C8"/>
    <w:rsid w:val="005B76C2"/>
    <w:rsid w:val="005C6B84"/>
    <w:rsid w:val="005D3A77"/>
    <w:rsid w:val="0060420B"/>
    <w:rsid w:val="00631975"/>
    <w:rsid w:val="00632A2D"/>
    <w:rsid w:val="00644FEF"/>
    <w:rsid w:val="006A2FBF"/>
    <w:rsid w:val="006C0D14"/>
    <w:rsid w:val="006C31C9"/>
    <w:rsid w:val="006D2E69"/>
    <w:rsid w:val="0070392D"/>
    <w:rsid w:val="00713313"/>
    <w:rsid w:val="00733CD4"/>
    <w:rsid w:val="007559E1"/>
    <w:rsid w:val="00780E0E"/>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121F9"/>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6777C023"/>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2A40-3C34-4BC0-A168-4C7945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2775</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4</cp:revision>
  <cp:lastPrinted>2021-02-24T02:26:00Z</cp:lastPrinted>
  <dcterms:created xsi:type="dcterms:W3CDTF">2021-02-21T04:19:00Z</dcterms:created>
  <dcterms:modified xsi:type="dcterms:W3CDTF">2022-02-07T18:01:00Z</dcterms:modified>
</cp:coreProperties>
</file>