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F025D3" w:rsidP="005E2671">
      <w:pPr>
        <w:jc w:val="center"/>
        <w:rPr>
          <w:b/>
          <w:bCs/>
          <w:sz w:val="48"/>
        </w:rPr>
      </w:pPr>
      <w:r>
        <w:rPr>
          <w:b/>
          <w:bCs/>
          <w:sz w:val="48"/>
        </w:rPr>
        <w:t>Towns</w:t>
      </w:r>
    </w:p>
    <w:p w:rsidR="00F025D3" w:rsidRDefault="00F025D3" w:rsidP="005E2671">
      <w:pPr>
        <w:jc w:val="center"/>
        <w:rPr>
          <w:b/>
          <w:bCs/>
          <w:sz w:val="48"/>
        </w:rPr>
      </w:pPr>
    </w:p>
    <w:p w:rsidR="005E2671" w:rsidRDefault="005E2671" w:rsidP="005E2671">
      <w:pPr>
        <w:jc w:val="center"/>
      </w:pPr>
    </w:p>
    <w:p w:rsidR="005E2671" w:rsidRDefault="005E2671" w:rsidP="005E2671">
      <w:pPr>
        <w:jc w:val="center"/>
        <w:sectPr w:rsidR="005E2671" w:rsidSect="00167E74">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I hereby prescribe the form and scope of the Minnesota L</w:t>
      </w:r>
      <w:r w:rsidR="00F025D3">
        <w:t>egal Compliance Audit Guide for Towns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5E2671" w:rsidRDefault="00B3668D" w:rsidP="00321DBB">
            <w:r>
              <w:t>Examples o</w:t>
            </w:r>
            <w:r w:rsidRPr="00B3668D">
              <w:t>f Independent Auditor’s Reports</w:t>
            </w:r>
            <w:r w:rsidR="005E2671">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6923C1">
            <w:r>
              <w:t xml:space="preserve">Page </w:t>
            </w:r>
            <w:r w:rsidR="00110518">
              <w:t>7</w:t>
            </w:r>
            <w:r>
              <w:t>-1</w:t>
            </w:r>
          </w:p>
        </w:tc>
        <w:tc>
          <w:tcPr>
            <w:tcW w:w="6120" w:type="dxa"/>
          </w:tcPr>
          <w:p w:rsidR="005E2671" w:rsidRDefault="005E2671" w:rsidP="00321DBB">
            <w:r>
              <w:t>Miscellaneous Provisions, and</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6923C1">
            <w:r>
              <w:t xml:space="preserve">Page </w:t>
            </w:r>
            <w:r w:rsidR="00110518">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BA290B">
        <w:rPr>
          <w:bCs/>
        </w:rPr>
        <w:t>t</w:t>
      </w:r>
      <w:r w:rsidR="002842C1">
        <w:rPr>
          <w:bCs/>
        </w:rPr>
        <w:t>owns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B535B6"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A41EC0"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167E74" w:rsidTr="00D101F8">
        <w:trPr>
          <w:cantSplit/>
        </w:trPr>
        <w:tc>
          <w:tcPr>
            <w:tcW w:w="8040" w:type="dxa"/>
            <w:gridSpan w:val="3"/>
          </w:tcPr>
          <w:p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167E74">
              <w:t>Page</w:t>
            </w:r>
          </w:p>
        </w:tc>
      </w:tr>
      <w:tr w:rsidR="005E2671" w:rsidRPr="00167E74" w:rsidTr="00D101F8">
        <w:trPr>
          <w:cantSplit/>
        </w:trPr>
        <w:tc>
          <w:tcPr>
            <w:tcW w:w="8040" w:type="dxa"/>
            <w:gridSpan w:val="3"/>
          </w:tcPr>
          <w:p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167E74" w:rsidTr="00D101F8">
        <w:trPr>
          <w:cantSplit/>
        </w:trPr>
        <w:tc>
          <w:tcPr>
            <w:tcW w:w="8040" w:type="dxa"/>
            <w:gridSpan w:val="3"/>
          </w:tcPr>
          <w:p w:rsidR="005E2671" w:rsidRPr="000D1EE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0D1EE4">
              <w:rPr>
                <w:color w:val="1329CF"/>
              </w:rPr>
              <w:t>Introduction</w:t>
            </w:r>
          </w:p>
        </w:tc>
        <w:tc>
          <w:tcPr>
            <w:tcW w:w="240" w:type="dxa"/>
          </w:tcPr>
          <w:p w:rsidR="005E2671" w:rsidRPr="000D1EE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0D1EE4"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D1EE4">
              <w:rPr>
                <w:color w:val="1329CF"/>
              </w:rPr>
              <w:t xml:space="preserve">i </w:t>
            </w: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rsidR="00E86F08" w:rsidRPr="000D1EE4"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D1EE4"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1.</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Depositories of Public Funds and Public Investments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1-1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2.</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Conflicts of Interest</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2-1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3.</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Public Indebtedness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3-1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4.</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Contracting - Bid Laws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4-1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5.</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Claims and Disbursements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5-1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6.</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Examples of Independent Auditor’s Reports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6-1</w:t>
            </w: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Minnesota Legal Compliance</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FB7F8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  </w:t>
            </w:r>
            <w:r w:rsidR="00FB7F8F" w:rsidRPr="000858BE">
              <w:rPr>
                <w:color w:val="1329CF"/>
              </w:rPr>
              <w:t>Towns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3442F7"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w:t>
            </w:r>
            <w:r w:rsidR="006729F4" w:rsidRPr="000858BE">
              <w:rPr>
                <w:color w:val="1329CF"/>
              </w:rPr>
              <w:t>2</w:t>
            </w:r>
          </w:p>
        </w:tc>
      </w:tr>
      <w:tr w:rsidR="003442F7" w:rsidRPr="006B0269" w:rsidTr="00E86F08">
        <w:tc>
          <w:tcPr>
            <w:tcW w:w="480" w:type="dxa"/>
          </w:tcPr>
          <w:p w:rsidR="003442F7" w:rsidRPr="000D1EE4" w:rsidRDefault="003442F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r w:rsidR="00167E74" w:rsidRPr="000858BE">
              <w:rPr>
                <w:color w:val="1329CF"/>
              </w:rPr>
              <w:t xml:space="preserve"> -  </w:t>
            </w:r>
            <w:r w:rsidRPr="000858BE">
              <w:rPr>
                <w:color w:val="1329CF"/>
              </w:rPr>
              <w:t>Towns -- GASB</w:t>
            </w:r>
          </w:p>
        </w:tc>
        <w:tc>
          <w:tcPr>
            <w:tcW w:w="240" w:type="dxa"/>
          </w:tcPr>
          <w:p w:rsidR="003442F7" w:rsidRPr="000858BE" w:rsidRDefault="003442F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3442F7" w:rsidRPr="000858BE" w:rsidRDefault="006729F4" w:rsidP="00FB7F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6-</w:t>
            </w:r>
            <w:r w:rsidR="00070F25">
              <w:rPr>
                <w:color w:val="1329CF"/>
              </w:rPr>
              <w:t>4</w:t>
            </w: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Combined Report</w:t>
            </w:r>
          </w:p>
        </w:tc>
        <w:tc>
          <w:tcPr>
            <w:tcW w:w="240" w:type="dxa"/>
          </w:tcPr>
          <w:p w:rsidR="00E86F08" w:rsidRPr="000858BE" w:rsidRDefault="00FB7F8F"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p>
        </w:tc>
        <w:tc>
          <w:tcPr>
            <w:tcW w:w="710" w:type="dxa"/>
          </w:tcPr>
          <w:p w:rsidR="00E86F08" w:rsidRPr="000858BE" w:rsidRDefault="00FB7F8F" w:rsidP="00EB2CF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w:t>
            </w:r>
          </w:p>
        </w:tc>
      </w:tr>
      <w:tr w:rsidR="00EB2CF0" w:rsidRPr="006B0269" w:rsidTr="00E86F08">
        <w:tc>
          <w:tcPr>
            <w:tcW w:w="480" w:type="dxa"/>
          </w:tcPr>
          <w:p w:rsidR="00EB2CF0" w:rsidRPr="000D1EE4" w:rsidRDefault="00EB2CF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t xml:space="preserve">      </w:t>
            </w:r>
          </w:p>
        </w:tc>
        <w:tc>
          <w:tcPr>
            <w:tcW w:w="240" w:type="dxa"/>
          </w:tcPr>
          <w:p w:rsidR="00EB2CF0" w:rsidRPr="000858BE"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w:t>
            </w:r>
          </w:p>
          <w:p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and on Compliance and Other Matters Based on an</w:t>
            </w:r>
          </w:p>
          <w:p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Audit of Financial Statements Performed in Accordance</w:t>
            </w:r>
          </w:p>
          <w:p w:rsidR="00EB2CF0" w:rsidRPr="000858BE" w:rsidRDefault="00EB2CF0" w:rsidP="00EB2CF0">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with </w:t>
            </w:r>
            <w:r w:rsidRPr="00EB2CF0">
              <w:rPr>
                <w:i/>
                <w:color w:val="1329CF"/>
              </w:rPr>
              <w:t>Government Auditing Standards</w:t>
            </w:r>
          </w:p>
        </w:tc>
        <w:tc>
          <w:tcPr>
            <w:tcW w:w="240" w:type="dxa"/>
          </w:tcPr>
          <w:p w:rsidR="00EB2CF0" w:rsidRPr="000858BE" w:rsidRDefault="00EB2CF0"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EB2CF0" w:rsidRPr="000858BE"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6-6</w:t>
            </w:r>
            <w:bookmarkStart w:id="1" w:name="_GoBack"/>
            <w:bookmarkEnd w:id="1"/>
          </w:p>
        </w:tc>
      </w:tr>
      <w:tr w:rsidR="00E86F08" w:rsidRPr="006B0269" w:rsidTr="00E86F08">
        <w:tc>
          <w:tcPr>
            <w:tcW w:w="480" w:type="dxa"/>
          </w:tcPr>
          <w:p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7</w:t>
            </w:r>
            <w:r w:rsidR="00E86F08" w:rsidRPr="000D1EE4">
              <w:t>.</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Miscellaneous Provisions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7</w:t>
            </w:r>
            <w:r w:rsidR="00E86F08" w:rsidRPr="000858BE">
              <w:rPr>
                <w:color w:val="1329CF"/>
              </w:rPr>
              <w:t>-1</w:t>
            </w:r>
          </w:p>
        </w:tc>
      </w:tr>
      <w:tr w:rsidR="00E86F08" w:rsidRPr="006B0269" w:rsidTr="00E86F08">
        <w:tc>
          <w:tcPr>
            <w:tcW w:w="480" w:type="dxa"/>
          </w:tcPr>
          <w:p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8</w:t>
            </w:r>
            <w:r w:rsidR="00E86F08" w:rsidRPr="000D1EE4">
              <w:t>.</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Tax Increment Financing</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8</w:t>
            </w:r>
            <w:r w:rsidR="00E86F08" w:rsidRPr="000858BE">
              <w:rPr>
                <w:color w:val="1329CF"/>
              </w:rPr>
              <w:t>-1</w:t>
            </w:r>
          </w:p>
        </w:tc>
      </w:tr>
    </w:tbl>
    <w:p w:rsidR="005E2671" w:rsidRPr="006B0269"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was prepared by the Office of the State Auditor 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F025D3">
        <w:t>towns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240318">
        <w:t>20</w:t>
      </w:r>
      <w:r>
        <w:t xml:space="preserve"> model report</w:t>
      </w:r>
      <w:r w:rsidR="00240318">
        <w:t>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CF094B">
        <w:t xml:space="preserve"> report or the language from the report must be issued as part of the audits of the </w:t>
      </w:r>
      <w:r w:rsidR="00D101F8">
        <w:t>Town.</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F025D3">
        <w:t>Town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Pr="0001744A" w:rsidRDefault="00466198" w:rsidP="000E0518">
      <w:pPr>
        <w:widowControl w:val="0"/>
        <w:jc w:val="both"/>
        <w:rPr>
          <w:sz w:val="44"/>
          <w:szCs w:val="44"/>
        </w:rPr>
      </w:pPr>
    </w:p>
    <w:p w:rsidR="00466198" w:rsidRDefault="00466198" w:rsidP="000E0518">
      <w:pPr>
        <w:widowControl w:val="0"/>
        <w:jc w:val="both"/>
      </w:pPr>
    </w:p>
    <w:p w:rsidR="00466198" w:rsidRDefault="00466198" w:rsidP="000E0518">
      <w:pPr>
        <w:widowControl w:val="0"/>
        <w:jc w:val="both"/>
      </w:pPr>
    </w:p>
    <w:p w:rsidR="00167E74" w:rsidRDefault="00167E74" w:rsidP="000E0518">
      <w:pPr>
        <w:widowControl w:val="0"/>
        <w:jc w:val="both"/>
      </w:pPr>
    </w:p>
    <w:p w:rsidR="00167E74" w:rsidRDefault="00167E74" w:rsidP="000E0518">
      <w:pPr>
        <w:widowControl w:val="0"/>
        <w:jc w:val="both"/>
      </w:pPr>
    </w:p>
    <w:p w:rsidR="003B333C" w:rsidRDefault="00A85B93" w:rsidP="00A85B93">
      <w:pPr>
        <w:widowControl w:val="0"/>
        <w:tabs>
          <w:tab w:val="center" w:pos="5040"/>
        </w:tabs>
      </w:pPr>
      <w:r>
        <w:tab/>
      </w:r>
      <w:proofErr w:type="spellStart"/>
      <w:r w:rsidR="003B333C">
        <w:t>i</w:t>
      </w:r>
      <w:proofErr w:type="spellEnd"/>
    </w:p>
    <w:p w:rsidR="00CF094B" w:rsidRDefault="003B333C"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D18A7">
        <w:fldChar w:fldCharType="begin"/>
      </w:r>
      <w:r w:rsidR="005D18A7">
        <w:instrText xml:space="preserve"> XE "</w:instrText>
      </w:r>
      <w:r w:rsidR="005D18A7" w:rsidRPr="00242838">
        <w:instrText>384.09</w:instrText>
      </w:r>
      <w:r w:rsidR="005D18A7">
        <w:instrText xml:space="preserve">" </w:instrText>
      </w:r>
      <w:r w:rsidR="005D18A7">
        <w:fldChar w:fldCharType="end"/>
      </w:r>
      <w:r w:rsidR="00CF094B">
        <w:t xml:space="preserve"> (counties); 412.151</w:t>
      </w:r>
      <w:r w:rsidR="005D18A7">
        <w:fldChar w:fldCharType="begin"/>
      </w:r>
      <w:r w:rsidR="005D18A7">
        <w:instrText xml:space="preserve"> XE "</w:instrText>
      </w:r>
      <w:r w:rsidR="005D18A7" w:rsidRPr="009F4598">
        <w:instrText>412.151</w:instrText>
      </w:r>
      <w:r w:rsidR="005D18A7">
        <w:instrText xml:space="preserve">" </w:instrText>
      </w:r>
      <w:r w:rsidR="005D18A7">
        <w:fldChar w:fldCharType="end"/>
      </w:r>
      <w:r w:rsidR="00CF094B">
        <w:t xml:space="preserve">, </w:t>
      </w:r>
      <w:proofErr w:type="spellStart"/>
      <w:r w:rsidR="00CF094B">
        <w:t>subd</w:t>
      </w:r>
      <w:proofErr w:type="spellEnd"/>
      <w:r w:rsidR="00CF094B">
        <w:t>. 1 (statutory cities); 367.11(1)</w:t>
      </w:r>
      <w:r w:rsidR="005D18A7">
        <w:fldChar w:fldCharType="begin"/>
      </w:r>
      <w:r w:rsidR="005D18A7">
        <w:instrText xml:space="preserve"> XE "</w:instrText>
      </w:r>
      <w:r w:rsidR="005D18A7" w:rsidRPr="00927CD5">
        <w:instrText>367.11(1)</w:instrText>
      </w:r>
      <w:r w:rsidR="005D18A7">
        <w:instrText xml:space="preserve">" </w:instrText>
      </w:r>
      <w:r w:rsidR="005D18A7">
        <w:fldChar w:fldCharType="end"/>
      </w:r>
      <w:r w:rsidR="00CF094B">
        <w:t xml:space="preserve"> (towns); and 123B.09</w:t>
      </w:r>
      <w:r w:rsidR="005D18A7">
        <w:fldChar w:fldCharType="begin"/>
      </w:r>
      <w:r w:rsidR="005D18A7">
        <w:instrText xml:space="preserve"> XE "</w:instrText>
      </w:r>
      <w:r w:rsidR="005D18A7" w:rsidRPr="00D23CB2">
        <w:instrText>123B.09</w:instrText>
      </w:r>
      <w:r w:rsidR="005D18A7">
        <w:instrText xml:space="preserve">" </w:instrText>
      </w:r>
      <w:r w:rsidR="005D18A7">
        <w:fldChar w:fldCharType="end"/>
      </w:r>
      <w:r w:rsidR="00CF094B">
        <w:t xml:space="preserve">, </w:t>
      </w:r>
      <w:proofErr w:type="spellStart"/>
      <w:r w:rsidR="00CF094B">
        <w:t>subd</w:t>
      </w:r>
      <w:proofErr w:type="spellEnd"/>
      <w:r w:rsidR="00CF094B">
        <w:t>. 10 (school districts).  The Minnesota Attorney General has used the definition of “proceedings” found at Minn. Stat. § 331A.01</w:t>
      </w:r>
      <w:r w:rsidR="005D18A7">
        <w:fldChar w:fldCharType="begin"/>
      </w:r>
      <w:r w:rsidR="005D18A7">
        <w:instrText xml:space="preserve"> XE "</w:instrText>
      </w:r>
      <w:r w:rsidR="005D18A7" w:rsidRPr="00C83741">
        <w:instrText>331A.01</w:instrText>
      </w:r>
      <w:r w:rsidR="005D18A7">
        <w:instrText xml:space="preserve">" </w:instrText>
      </w:r>
      <w:r w:rsidR="005D18A7">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D18A7">
        <w:fldChar w:fldCharType="begin"/>
      </w:r>
      <w:r w:rsidR="005D18A7">
        <w:instrText xml:space="preserve"> XE "</w:instrText>
      </w:r>
      <w:r w:rsidR="005D18A7" w:rsidRPr="00FE279F">
        <w:instrText>13D</w:instrText>
      </w:r>
      <w:r w:rsidR="005D18A7">
        <w:instrText xml:space="preserve">" </w:instrText>
      </w:r>
      <w:r w:rsidR="005D18A7">
        <w:fldChar w:fldCharType="end"/>
      </w:r>
      <w:r>
        <w:t xml:space="preserve"> [Minnesota Open Meeting Law], unless such information is recorded elsewhere.  Minn. Stat. § 13D.01</w:t>
      </w:r>
      <w:r w:rsidR="005D18A7">
        <w:fldChar w:fldCharType="begin"/>
      </w:r>
      <w:r w:rsidR="005D18A7">
        <w:instrText xml:space="preserve"> XE "</w:instrText>
      </w:r>
      <w:r w:rsidR="005D18A7" w:rsidRPr="00CD71A5">
        <w:instrText>13D.01</w:instrText>
      </w:r>
      <w:r w:rsidR="005D18A7">
        <w:instrText xml:space="preserve">" </w:instrText>
      </w:r>
      <w:r w:rsidR="005D18A7">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24653E">
        <w:t>or minutes</w:t>
      </w:r>
      <w:r>
        <w:t>.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In addition, subd. 5 states, “[t]he journal</w:t>
      </w:r>
      <w:r w:rsidR="0024653E">
        <w:t xml:space="preserve"> or any minutes used to record votes of a meeting subject to this chapter </w:t>
      </w:r>
      <w:r>
        <w:t xml:space="preserve">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4C598D">
        <w:fldChar w:fldCharType="begin"/>
      </w:r>
      <w:r w:rsidR="004C598D">
        <w:instrText xml:space="preserve"> XE "</w:instrText>
      </w:r>
      <w:r w:rsidR="004C598D" w:rsidRPr="00391A87">
        <w:instrText>Op. Atty. Gen. 851-C</w:instrText>
      </w:r>
      <w:r w:rsidR="004C598D">
        <w:instrText xml:space="preserve">" </w:instrText>
      </w:r>
      <w:r w:rsidR="004C598D">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167E74" w:rsidRDefault="00167E7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01744A" w:rsidRPr="0001744A" w:rsidRDefault="0001744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8"/>
          <w:szCs w:val="28"/>
        </w:rPr>
      </w:pPr>
    </w:p>
    <w:p w:rsidR="000D0062" w:rsidRDefault="000D006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sz w:val="16"/>
          <w:szCs w:val="16"/>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of a particular body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4C598D">
        <w:fldChar w:fldCharType="begin"/>
      </w:r>
      <w:r w:rsidR="004C598D">
        <w:instrText xml:space="preserve"> XE "</w:instrText>
      </w:r>
      <w:r w:rsidR="004C598D" w:rsidRPr="00E66BAF">
        <w:instrText>Op. Atty. Gen. 161-a-20</w:instrText>
      </w:r>
      <w:r w:rsidR="004C598D">
        <w:instrText xml:space="preserve">" </w:instrText>
      </w:r>
      <w:r w:rsidR="004C598D">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C51B80">
        <w:t xml:space="preserve"> §</w:t>
      </w:r>
      <w:r w:rsidR="00FC59C4">
        <w:t xml:space="preserve"> </w:t>
      </w:r>
      <w:r>
        <w:t>15.17</w:t>
      </w:r>
      <w:r w:rsidR="005D18A7">
        <w:fldChar w:fldCharType="begin"/>
      </w:r>
      <w:r w:rsidR="005D18A7">
        <w:instrText xml:space="preserve"> XE "</w:instrText>
      </w:r>
      <w:r w:rsidR="005D18A7" w:rsidRPr="006A16EA">
        <w:instrText>15.17</w:instrText>
      </w:r>
      <w:r w:rsidR="005D18A7">
        <w:instrText xml:space="preserve">" </w:instrText>
      </w:r>
      <w:r w:rsidR="005D18A7">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D18A7">
        <w:fldChar w:fldCharType="begin"/>
      </w:r>
      <w:r w:rsidR="005D18A7">
        <w:instrText xml:space="preserve"> XE "</w:instrText>
      </w:r>
      <w:r w:rsidR="005D18A7" w:rsidRPr="00FA6033">
        <w:instrText>15.17</w:instrText>
      </w:r>
      <w:r w:rsidR="005D18A7">
        <w:instrText xml:space="preserve">" </w:instrText>
      </w:r>
      <w:r w:rsidR="005D18A7">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D18A7">
        <w:fldChar w:fldCharType="begin"/>
      </w:r>
      <w:r w:rsidR="005D18A7">
        <w:instrText xml:space="preserve"> XE "</w:instrText>
      </w:r>
      <w:r w:rsidR="005D18A7" w:rsidRPr="00E37CD8">
        <w:instrText>15.17</w:instrText>
      </w:r>
      <w:r w:rsidR="005D18A7">
        <w:instrText xml:space="preserve">" </w:instrText>
      </w:r>
      <w:r w:rsidR="005D18A7">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ch. </w:t>
      </w:r>
      <w:r>
        <w:t>13</w:t>
      </w:r>
      <w:r w:rsidR="005D18A7">
        <w:fldChar w:fldCharType="begin"/>
      </w:r>
      <w:r w:rsidR="005D18A7">
        <w:instrText xml:space="preserve"> XE "</w:instrText>
      </w:r>
      <w:r w:rsidR="005D18A7" w:rsidRPr="008944F5">
        <w:instrText>13</w:instrText>
      </w:r>
      <w:r w:rsidR="005D18A7">
        <w:instrText xml:space="preserve">" </w:instrText>
      </w:r>
      <w:r w:rsidR="005D18A7">
        <w:fldChar w:fldCharType="end"/>
      </w:r>
      <w:r>
        <w:t>.</w:t>
      </w:r>
    </w:p>
    <w:p w:rsidR="00CF094B" w:rsidRDefault="00CF094B">
      <w:pPr>
        <w:widowControl w:val="0"/>
        <w:jc w:val="both"/>
      </w:pPr>
    </w:p>
    <w:p w:rsidR="00CF094B" w:rsidRDefault="00CF094B">
      <w:pPr>
        <w:widowControl w:val="0"/>
        <w:jc w:val="both"/>
      </w:pPr>
      <w:r>
        <w:t xml:space="preserve">For </w:t>
      </w:r>
      <w:r w:rsidR="00F025D3">
        <w:t>towns</w:t>
      </w:r>
      <w:r>
        <w:t xml:space="preserve"> having problems with the storage of obsolete </w:t>
      </w:r>
      <w:r w:rsidR="00A85B93">
        <w:t>records, Minn. Stat. §§ 138.163</w:t>
      </w:r>
      <w:r w:rsidR="00A85B93">
        <w:noBreakHyphen/>
      </w:r>
      <w:r>
        <w:t>.25</w:t>
      </w:r>
      <w:r w:rsidR="005D18A7">
        <w:fldChar w:fldCharType="begin"/>
      </w:r>
      <w:r w:rsidR="005D18A7">
        <w:instrText xml:space="preserve"> XE "</w:instrText>
      </w:r>
      <w:r w:rsidR="005D18A7" w:rsidRPr="00C06CC0">
        <w:instrText>138.163</w:instrText>
      </w:r>
      <w:r w:rsidR="005D18A7" w:rsidRPr="00C06CC0">
        <w:noBreakHyphen/>
        <w:instrText>.25</w:instrText>
      </w:r>
      <w:r w:rsidR="005D18A7">
        <w:instrText xml:space="preserve">" </w:instrText>
      </w:r>
      <w:r w:rsidR="005D18A7">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5D18A7">
        <w:fldChar w:fldCharType="begin"/>
      </w:r>
      <w:r w:rsidR="005D18A7">
        <w:instrText xml:space="preserve"> XE "</w:instrText>
      </w:r>
      <w:r w:rsidR="005D18A7" w:rsidRPr="004110BF">
        <w:instrText>138.225</w:instrText>
      </w:r>
      <w:r w:rsidR="005D18A7">
        <w:instrText xml:space="preserve">" </w:instrText>
      </w:r>
      <w:r w:rsidR="005D18A7">
        <w:fldChar w:fldCharType="end"/>
      </w:r>
      <w:r>
        <w:t>.</w:t>
      </w:r>
    </w:p>
    <w:p w:rsidR="00956C2B" w:rsidRDefault="00956C2B">
      <w:pPr>
        <w:widowControl w:val="0"/>
        <w:jc w:val="both"/>
      </w:pPr>
    </w:p>
    <w:p w:rsidR="00956C2B" w:rsidRDefault="00956C2B" w:rsidP="00956C2B">
      <w:pPr>
        <w:widowControl w:val="0"/>
        <w:tabs>
          <w:tab w:val="center" w:pos="5040"/>
        </w:tabs>
        <w:jc w:val="both"/>
      </w:pPr>
      <w:r>
        <w:t xml:space="preserve">Unless a town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town must be kept forever, unless the town (1) adopts the General Records Retention Schedule for Towns, in which case, the town must maintain these records for ten years, (2) adopts its own properly approved records retention schedule, or (3) receives authority to dispose of the records from the records disposition panel.  </w:t>
      </w:r>
    </w:p>
    <w:p w:rsidR="00956C2B" w:rsidRDefault="00956C2B" w:rsidP="00956C2B">
      <w:pPr>
        <w:widowControl w:val="0"/>
        <w:jc w:val="both"/>
      </w:pPr>
    </w:p>
    <w:p w:rsidR="00956C2B" w:rsidRDefault="00956C2B" w:rsidP="00956C2B">
      <w:pPr>
        <w:widowControl w:val="0"/>
        <w:jc w:val="both"/>
      </w:pPr>
      <w:r>
        <w:t xml:space="preserve">A political subdivision that wishes to adopt the appropriate General Records Retention Schedule can find information on the </w:t>
      </w:r>
      <w:hyperlink r:id="rId11" w:history="1">
        <w:r w:rsidRPr="0026192C">
          <w:rPr>
            <w:rStyle w:val="Hyperlink"/>
          </w:rPr>
          <w:t>State Archives website</w:t>
        </w:r>
      </w:hyperlink>
      <w:r>
        <w:t>.</w:t>
      </w:r>
    </w:p>
    <w:p w:rsidR="00956C2B" w:rsidRDefault="00956C2B">
      <w:pPr>
        <w:widowControl w:val="0"/>
        <w:jc w:val="both"/>
      </w:pPr>
    </w:p>
    <w:p w:rsidR="00167E74" w:rsidRDefault="00167E74">
      <w:pPr>
        <w:widowControl w:val="0"/>
        <w:jc w:val="both"/>
      </w:pPr>
    </w:p>
    <w:p w:rsidR="00956C2B" w:rsidRDefault="00956C2B">
      <w:pPr>
        <w:widowControl w:val="0"/>
        <w:jc w:val="both"/>
      </w:pPr>
    </w:p>
    <w:p w:rsidR="00956C2B" w:rsidRPr="0001744A" w:rsidRDefault="00956C2B">
      <w:pPr>
        <w:widowControl w:val="0"/>
        <w:jc w:val="both"/>
        <w:rPr>
          <w:sz w:val="36"/>
          <w:szCs w:val="36"/>
        </w:rPr>
      </w:pPr>
    </w:p>
    <w:p w:rsidR="00956C2B" w:rsidRDefault="00956C2B">
      <w:pPr>
        <w:widowControl w:val="0"/>
        <w:jc w:val="both"/>
        <w:rPr>
          <w:sz w:val="16"/>
          <w:szCs w:val="16"/>
        </w:rPr>
      </w:pPr>
    </w:p>
    <w:p w:rsidR="000D0062" w:rsidRPr="000D0062" w:rsidRDefault="000D0062">
      <w:pPr>
        <w:widowControl w:val="0"/>
        <w:jc w:val="both"/>
        <w:rPr>
          <w:sz w:val="16"/>
          <w:szCs w:val="16"/>
        </w:rPr>
      </w:pPr>
    </w:p>
    <w:p w:rsidR="00A85B93" w:rsidRDefault="00A85B93" w:rsidP="00A85B93">
      <w:pPr>
        <w:widowControl w:val="0"/>
        <w:tabs>
          <w:tab w:val="center" w:pos="5040"/>
        </w:tabs>
      </w:pPr>
      <w:r>
        <w:tab/>
        <w:t>i</w:t>
      </w:r>
      <w:r w:rsidR="004274BD">
        <w:t>ii</w:t>
      </w:r>
    </w:p>
    <w:p w:rsidR="00CF094B" w:rsidRDefault="00CF094B" w:rsidP="00956C2B">
      <w:pPr>
        <w:widowControl w:val="0"/>
        <w:tabs>
          <w:tab w:val="center" w:pos="5040"/>
        </w:tabs>
        <w:jc w:val="both"/>
      </w:pPr>
      <w:r>
        <w:br w:type="page"/>
      </w:r>
      <w:r>
        <w:lastRenderedPageBreak/>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EB2CF0">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F35263" w:rsidRDefault="00F35263" w:rsidP="00F35263">
      <w:pPr>
        <w:widowControl w:val="0"/>
        <w:jc w:val="center"/>
      </w:pPr>
      <w:r>
        <w:t>Minnesota Department of Administration</w:t>
      </w:r>
    </w:p>
    <w:p w:rsidR="00F35263" w:rsidRDefault="00F35263" w:rsidP="00F35263">
      <w:pPr>
        <w:widowControl w:val="0"/>
        <w:jc w:val="center"/>
      </w:pPr>
      <w:r>
        <w:t>Data Practices Office</w:t>
      </w:r>
    </w:p>
    <w:p w:rsidR="00F35263" w:rsidRDefault="00F35263" w:rsidP="00F35263">
      <w:pPr>
        <w:widowControl w:val="0"/>
        <w:jc w:val="center"/>
      </w:pPr>
      <w:r>
        <w:t>320 Centennial Office Building</w:t>
      </w:r>
    </w:p>
    <w:p w:rsidR="00F35263" w:rsidRDefault="00F35263" w:rsidP="00F35263">
      <w:pPr>
        <w:widowControl w:val="0"/>
        <w:jc w:val="center"/>
      </w:pPr>
      <w:r>
        <w:t>658 Cedar Street</w:t>
      </w:r>
    </w:p>
    <w:p w:rsidR="00F35263" w:rsidRDefault="00F35263" w:rsidP="00F35263">
      <w:pPr>
        <w:widowControl w:val="0"/>
        <w:jc w:val="center"/>
      </w:pPr>
      <w:r>
        <w:t xml:space="preserve">St. Paul, </w:t>
      </w:r>
      <w:proofErr w:type="gramStart"/>
      <w:r>
        <w:t>Minnesota  55155</w:t>
      </w:r>
      <w:proofErr w:type="gramEnd"/>
    </w:p>
    <w:p w:rsidR="00F35263" w:rsidRDefault="00F35263" w:rsidP="00F35263">
      <w:pPr>
        <w:widowControl w:val="0"/>
        <w:jc w:val="center"/>
      </w:pPr>
      <w:r>
        <w:t>(651) 296-6733</w:t>
      </w:r>
    </w:p>
    <w:p w:rsidR="00F35263" w:rsidRDefault="00EB2CF0" w:rsidP="00F35263">
      <w:pPr>
        <w:widowControl w:val="0"/>
        <w:jc w:val="center"/>
      </w:pPr>
      <w:hyperlink r:id="rId13" w:history="1">
        <w:r w:rsidR="00F35263" w:rsidRPr="00A73EAC">
          <w:rPr>
            <w:rStyle w:val="Hyperlink"/>
          </w:rPr>
          <w:t>https://mn.gov/admin/data-practices/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F025D3">
        <w:rPr>
          <w:i/>
        </w:rPr>
        <w:t>Towns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EB2CF0">
      <w:pPr>
        <w:widowControl w:val="0"/>
        <w:jc w:val="center"/>
      </w:pPr>
      <w:hyperlink r:id="rId14" w:history="1">
        <w:r w:rsidR="0001744A" w:rsidRPr="003D0F3A">
          <w:rPr>
            <w:rStyle w:val="Hyperlink"/>
          </w:rPr>
          <w:t>http://www.osa.state.mn.us</w:t>
        </w:r>
      </w:hyperlink>
    </w:p>
    <w:p w:rsidR="00161EA2" w:rsidRDefault="00161EA2" w:rsidP="005E2671"/>
    <w:p w:rsidR="00466198" w:rsidRDefault="00466198"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Pr>
        <w:rPr>
          <w:sz w:val="28"/>
          <w:szCs w:val="28"/>
        </w:rPr>
      </w:pPr>
    </w:p>
    <w:p w:rsidR="00956C2B" w:rsidRDefault="00956C2B" w:rsidP="005E2671"/>
    <w:p w:rsidR="00956C2B" w:rsidRDefault="00956C2B" w:rsidP="005E2671"/>
    <w:p w:rsidR="00F35263" w:rsidRDefault="00F35263" w:rsidP="005E2671"/>
    <w:p w:rsidR="000D0062" w:rsidRDefault="000D0062" w:rsidP="00A85B93">
      <w:pPr>
        <w:tabs>
          <w:tab w:val="center" w:pos="5040"/>
        </w:tabs>
        <w:rPr>
          <w:sz w:val="16"/>
          <w:szCs w:val="16"/>
        </w:rPr>
      </w:pPr>
    </w:p>
    <w:p w:rsidR="00466198" w:rsidRDefault="00A85B93" w:rsidP="00A85B93">
      <w:pPr>
        <w:tabs>
          <w:tab w:val="center" w:pos="5040"/>
        </w:tabs>
      </w:pPr>
      <w:r>
        <w:tab/>
        <w:t>iv</w:t>
      </w:r>
    </w:p>
    <w:sectPr w:rsidR="00466198" w:rsidSect="00167E74">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DFB" w:rsidRDefault="002D4DFB">
      <w:r>
        <w:separator/>
      </w:r>
    </w:p>
  </w:endnote>
  <w:endnote w:type="continuationSeparator" w:id="0">
    <w:p w:rsidR="002D4DFB" w:rsidRDefault="002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579CA" w:rsidP="00283E10">
    <w:pPr>
      <w:pStyle w:val="Footer"/>
      <w:tabs>
        <w:tab w:val="clear" w:pos="4320"/>
        <w:tab w:val="clear" w:pos="8640"/>
        <w:tab w:val="center" w:pos="5040"/>
      </w:tabs>
      <w:rPr>
        <w:rFonts w:ascii="Times New Roman" w:hAnsi="Times New Roman"/>
      </w:rPr>
    </w:pPr>
    <w:r>
      <w:rPr>
        <w:rFonts w:ascii="Times New Roman" w:hAnsi="Times New Roman"/>
      </w:rPr>
      <w:t>0</w:t>
    </w:r>
    <w:r w:rsidR="00E76522">
      <w:rPr>
        <w:rFonts w:ascii="Times New Roman" w:hAnsi="Times New Roman"/>
      </w:rPr>
      <w:t>2</w:t>
    </w:r>
    <w:r w:rsidR="00BC31F2">
      <w:rPr>
        <w:rFonts w:ascii="Times New Roman" w:hAnsi="Times New Roman"/>
      </w:rPr>
      <w:t>/20</w:t>
    </w:r>
    <w:r w:rsidR="0024653E">
      <w:rPr>
        <w:rFonts w:ascii="Times New Roman" w:hAnsi="Times New Roman"/>
      </w:rPr>
      <w:t>22</w:t>
    </w:r>
    <w:r w:rsidR="00113268">
      <w:rPr>
        <w:rFonts w:ascii="Times New Roman" w:hAnsi="Times New Roman"/>
      </w:rPr>
      <w:t xml:space="preserve">     Towns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DFB" w:rsidRDefault="002D4DFB">
      <w:r>
        <w:separator/>
      </w:r>
    </w:p>
  </w:footnote>
  <w:footnote w:type="continuationSeparator" w:id="0">
    <w:p w:rsidR="002D4DFB" w:rsidRDefault="002D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1744A"/>
    <w:rsid w:val="00022C52"/>
    <w:rsid w:val="00046534"/>
    <w:rsid w:val="00070666"/>
    <w:rsid w:val="00070F25"/>
    <w:rsid w:val="00080103"/>
    <w:rsid w:val="00081849"/>
    <w:rsid w:val="000858BE"/>
    <w:rsid w:val="00090478"/>
    <w:rsid w:val="000B12D2"/>
    <w:rsid w:val="000D0062"/>
    <w:rsid w:val="000D0122"/>
    <w:rsid w:val="000D1EE4"/>
    <w:rsid w:val="000D20B5"/>
    <w:rsid w:val="000D353B"/>
    <w:rsid w:val="000D47B7"/>
    <w:rsid w:val="000E0518"/>
    <w:rsid w:val="000E3106"/>
    <w:rsid w:val="000E3C44"/>
    <w:rsid w:val="000E6C20"/>
    <w:rsid w:val="000F3AEE"/>
    <w:rsid w:val="000F5217"/>
    <w:rsid w:val="00110518"/>
    <w:rsid w:val="00113268"/>
    <w:rsid w:val="00140481"/>
    <w:rsid w:val="00147D68"/>
    <w:rsid w:val="00153ACF"/>
    <w:rsid w:val="00156A46"/>
    <w:rsid w:val="00161EA2"/>
    <w:rsid w:val="001632E0"/>
    <w:rsid w:val="00167E74"/>
    <w:rsid w:val="001C4325"/>
    <w:rsid w:val="001C7E44"/>
    <w:rsid w:val="00217780"/>
    <w:rsid w:val="0023690C"/>
    <w:rsid w:val="00240318"/>
    <w:rsid w:val="002414CA"/>
    <w:rsid w:val="002424B6"/>
    <w:rsid w:val="002431F8"/>
    <w:rsid w:val="0024653E"/>
    <w:rsid w:val="0026192C"/>
    <w:rsid w:val="00270B24"/>
    <w:rsid w:val="002743A3"/>
    <w:rsid w:val="002765D2"/>
    <w:rsid w:val="00283E10"/>
    <w:rsid w:val="002842C1"/>
    <w:rsid w:val="002B4309"/>
    <w:rsid w:val="002B68E2"/>
    <w:rsid w:val="002D43D2"/>
    <w:rsid w:val="002D4DFB"/>
    <w:rsid w:val="002D67A3"/>
    <w:rsid w:val="002E04B3"/>
    <w:rsid w:val="002E3120"/>
    <w:rsid w:val="00303EAB"/>
    <w:rsid w:val="003125C7"/>
    <w:rsid w:val="00321DBB"/>
    <w:rsid w:val="00342BD2"/>
    <w:rsid w:val="003434FB"/>
    <w:rsid w:val="003442F7"/>
    <w:rsid w:val="00361134"/>
    <w:rsid w:val="003749EC"/>
    <w:rsid w:val="0038321F"/>
    <w:rsid w:val="003A6268"/>
    <w:rsid w:val="003B333C"/>
    <w:rsid w:val="003B70F5"/>
    <w:rsid w:val="003E2651"/>
    <w:rsid w:val="004064E0"/>
    <w:rsid w:val="0041237C"/>
    <w:rsid w:val="004274BD"/>
    <w:rsid w:val="00430572"/>
    <w:rsid w:val="00466198"/>
    <w:rsid w:val="00484320"/>
    <w:rsid w:val="004A4EB0"/>
    <w:rsid w:val="004B2F97"/>
    <w:rsid w:val="004C598D"/>
    <w:rsid w:val="004D4B05"/>
    <w:rsid w:val="00530D4D"/>
    <w:rsid w:val="0055144F"/>
    <w:rsid w:val="00585710"/>
    <w:rsid w:val="00587E2A"/>
    <w:rsid w:val="005A70A3"/>
    <w:rsid w:val="005C0EDA"/>
    <w:rsid w:val="005C1E03"/>
    <w:rsid w:val="005D18A7"/>
    <w:rsid w:val="005D273E"/>
    <w:rsid w:val="005D7BC2"/>
    <w:rsid w:val="005E2671"/>
    <w:rsid w:val="005E5CAA"/>
    <w:rsid w:val="005F1599"/>
    <w:rsid w:val="005F2373"/>
    <w:rsid w:val="005F4577"/>
    <w:rsid w:val="006104A7"/>
    <w:rsid w:val="00633516"/>
    <w:rsid w:val="006729F4"/>
    <w:rsid w:val="006923C1"/>
    <w:rsid w:val="006A412D"/>
    <w:rsid w:val="006B0269"/>
    <w:rsid w:val="006B29D4"/>
    <w:rsid w:val="006E5A00"/>
    <w:rsid w:val="00713257"/>
    <w:rsid w:val="00714480"/>
    <w:rsid w:val="007204E4"/>
    <w:rsid w:val="00730B62"/>
    <w:rsid w:val="007B4F83"/>
    <w:rsid w:val="007C1B04"/>
    <w:rsid w:val="007C3ECD"/>
    <w:rsid w:val="007D37BB"/>
    <w:rsid w:val="007D5180"/>
    <w:rsid w:val="007E014E"/>
    <w:rsid w:val="007F4BBA"/>
    <w:rsid w:val="00801024"/>
    <w:rsid w:val="00802571"/>
    <w:rsid w:val="008202EC"/>
    <w:rsid w:val="008345AE"/>
    <w:rsid w:val="00876631"/>
    <w:rsid w:val="00893FC2"/>
    <w:rsid w:val="008D0611"/>
    <w:rsid w:val="008D13E9"/>
    <w:rsid w:val="008F7E98"/>
    <w:rsid w:val="009147CF"/>
    <w:rsid w:val="00921208"/>
    <w:rsid w:val="009248E4"/>
    <w:rsid w:val="009474CD"/>
    <w:rsid w:val="009509F1"/>
    <w:rsid w:val="00956C2B"/>
    <w:rsid w:val="0096636B"/>
    <w:rsid w:val="00966A91"/>
    <w:rsid w:val="00971460"/>
    <w:rsid w:val="00A04061"/>
    <w:rsid w:val="00A21B9E"/>
    <w:rsid w:val="00A242CB"/>
    <w:rsid w:val="00A36753"/>
    <w:rsid w:val="00A41EC0"/>
    <w:rsid w:val="00A61425"/>
    <w:rsid w:val="00A85B93"/>
    <w:rsid w:val="00A9124A"/>
    <w:rsid w:val="00AD4E07"/>
    <w:rsid w:val="00AE2355"/>
    <w:rsid w:val="00B132AC"/>
    <w:rsid w:val="00B361B6"/>
    <w:rsid w:val="00B3668D"/>
    <w:rsid w:val="00B535B6"/>
    <w:rsid w:val="00B579CA"/>
    <w:rsid w:val="00B70787"/>
    <w:rsid w:val="00BA0284"/>
    <w:rsid w:val="00BA290B"/>
    <w:rsid w:val="00BB0D56"/>
    <w:rsid w:val="00BC31F2"/>
    <w:rsid w:val="00C3091D"/>
    <w:rsid w:val="00C31CFA"/>
    <w:rsid w:val="00C51B80"/>
    <w:rsid w:val="00C63903"/>
    <w:rsid w:val="00C93971"/>
    <w:rsid w:val="00C95F89"/>
    <w:rsid w:val="00CA0281"/>
    <w:rsid w:val="00CD7D07"/>
    <w:rsid w:val="00CF094B"/>
    <w:rsid w:val="00D101F8"/>
    <w:rsid w:val="00D148F6"/>
    <w:rsid w:val="00D3278F"/>
    <w:rsid w:val="00D4173F"/>
    <w:rsid w:val="00D55211"/>
    <w:rsid w:val="00D6222C"/>
    <w:rsid w:val="00D75286"/>
    <w:rsid w:val="00DB4FBF"/>
    <w:rsid w:val="00DD35B4"/>
    <w:rsid w:val="00DF7A2D"/>
    <w:rsid w:val="00E50985"/>
    <w:rsid w:val="00E72CAF"/>
    <w:rsid w:val="00E76522"/>
    <w:rsid w:val="00E86F08"/>
    <w:rsid w:val="00EA3C19"/>
    <w:rsid w:val="00EB2CF0"/>
    <w:rsid w:val="00F025D3"/>
    <w:rsid w:val="00F05A36"/>
    <w:rsid w:val="00F10C59"/>
    <w:rsid w:val="00F1752F"/>
    <w:rsid w:val="00F3280C"/>
    <w:rsid w:val="00F35263"/>
    <w:rsid w:val="00F42B76"/>
    <w:rsid w:val="00F51606"/>
    <w:rsid w:val="00F55C1F"/>
    <w:rsid w:val="00F9508D"/>
    <w:rsid w:val="00FB7664"/>
    <w:rsid w:val="00FB7F8F"/>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131A2817"/>
  <w15:chartTrackingRefBased/>
  <w15:docId w15:val="{39EFE705-A29D-41EB-B22C-96D62E0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os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8BE1-4A0F-4E80-9708-90BF1BBD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1707</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11801</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2022-03-04T02:30:00Z</cp:lastPrinted>
  <dcterms:created xsi:type="dcterms:W3CDTF">2022-02-03T17:20:00Z</dcterms:created>
  <dcterms:modified xsi:type="dcterms:W3CDTF">2022-03-04T02:30:00Z</dcterms:modified>
</cp:coreProperties>
</file>